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755A9D68" w:rsidR="00F17F5E" w:rsidRDefault="00F17F5E" w:rsidP="00F17F5E">
      <w:pPr>
        <w:pStyle w:val="3GPPHeader"/>
        <w:spacing w:after="60"/>
      </w:pPr>
      <w:r>
        <w:t>3GPP TSG-RAN WG1 Meeting #</w:t>
      </w:r>
      <w:r w:rsidR="008440AF">
        <w:t>1</w:t>
      </w:r>
      <w:r w:rsidR="00AD7B84">
        <w:t>2</w:t>
      </w:r>
      <w:r w:rsidR="003054EE">
        <w:t>2</w:t>
      </w:r>
      <w:r>
        <w:tab/>
      </w:r>
      <w:r w:rsidR="00A44F47" w:rsidRPr="00A44F47">
        <w:t>R1-2505280</w:t>
      </w:r>
    </w:p>
    <w:p w14:paraId="60A5317D" w14:textId="5ED09DCC" w:rsidR="00E90E49" w:rsidRPr="00CB5CA6" w:rsidRDefault="00E01EDF" w:rsidP="00357380">
      <w:pPr>
        <w:pStyle w:val="3GPPHeader"/>
      </w:pPr>
      <w:r>
        <w:t>Bengaluru</w:t>
      </w:r>
      <w:r w:rsidR="001B5840" w:rsidRPr="001B5840">
        <w:t>,</w:t>
      </w:r>
      <w:r w:rsidR="001B5840">
        <w:t xml:space="preserve"> </w:t>
      </w:r>
      <w:r w:rsidR="008F7820" w:rsidRPr="008F7820">
        <w:t xml:space="preserve">Republic of </w:t>
      </w:r>
      <w:r w:rsidR="005E3CA2">
        <w:t>India</w:t>
      </w:r>
      <w:r w:rsidR="008F7820" w:rsidRPr="008F7820">
        <w:t xml:space="preserve">, </w:t>
      </w:r>
      <w:r w:rsidR="006A1491">
        <w:t>Aug</w:t>
      </w:r>
      <w:r w:rsidR="008F7820" w:rsidRPr="008F7820">
        <w:t xml:space="preserve"> </w:t>
      </w:r>
      <w:r w:rsidR="006A1491">
        <w:t>25</w:t>
      </w:r>
      <w:r w:rsidR="008F7820" w:rsidRPr="008F7820">
        <w:rPr>
          <w:vertAlign w:val="superscript"/>
        </w:rPr>
        <w:t>th</w:t>
      </w:r>
      <w:r w:rsidR="008F7820" w:rsidRPr="008F7820">
        <w:t xml:space="preserve"> – 2</w:t>
      </w:r>
      <w:r w:rsidR="006A1491">
        <w:t>9</w:t>
      </w:r>
      <w:r w:rsidR="006A1491" w:rsidRPr="006A1491">
        <w:rPr>
          <w:vertAlign w:val="superscript"/>
        </w:rPr>
        <w:t>th</w:t>
      </w:r>
      <w:r w:rsidR="006071DE" w:rsidRPr="006071DE">
        <w:t>, 202</w:t>
      </w:r>
      <w:r w:rsidR="0052627A">
        <w:t>5</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A44F47">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A04B334" w:rsidR="00E90E49" w:rsidRPr="00CE0424" w:rsidRDefault="003D3C45" w:rsidP="00311702">
      <w:pPr>
        <w:pStyle w:val="3GPPHeader"/>
        <w:rPr>
          <w:sz w:val="22"/>
          <w:szCs w:val="22"/>
        </w:rPr>
      </w:pPr>
      <w:r>
        <w:rPr>
          <w:sz w:val="22"/>
          <w:szCs w:val="22"/>
        </w:rPr>
        <w:t>Title:</w:t>
      </w:r>
      <w:r w:rsidR="00E90E49" w:rsidRPr="00CE0424">
        <w:rPr>
          <w:sz w:val="22"/>
          <w:szCs w:val="22"/>
        </w:rPr>
        <w:tab/>
      </w:r>
      <w:r w:rsidR="005E727E" w:rsidRPr="005E727E">
        <w:rPr>
          <w:sz w:val="22"/>
          <w:szCs w:val="22"/>
        </w:rPr>
        <w:t xml:space="preserve">Discussion LS on </w:t>
      </w:r>
      <w:r w:rsidR="002349E9">
        <w:rPr>
          <w:sz w:val="22"/>
          <w:szCs w:val="22"/>
        </w:rPr>
        <w:t>CB-msg3-EDT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33E9546A" w:rsidR="00E30E15" w:rsidRDefault="009D7D2B" w:rsidP="00652F2E">
      <w:pPr>
        <w:pStyle w:val="BodyText"/>
        <w:rPr>
          <w:rFonts w:ascii="Times New Roman" w:hAnsi="Times New Roman"/>
        </w:rPr>
      </w:pPr>
      <w:r w:rsidRPr="009D7D2B">
        <w:rPr>
          <w:rFonts w:ascii="Times New Roman" w:hAnsi="Times New Roman"/>
        </w:rPr>
        <w:t>RAN</w:t>
      </w:r>
      <w:r w:rsidR="006031B5">
        <w:rPr>
          <w:rFonts w:ascii="Times New Roman" w:hAnsi="Times New Roman"/>
        </w:rPr>
        <w:t>2</w:t>
      </w:r>
      <w:r w:rsidRPr="009D7D2B">
        <w:rPr>
          <w:rFonts w:ascii="Times New Roman" w:hAnsi="Times New Roman"/>
        </w:rPr>
        <w:t xml:space="preserve"> has been discussing </w:t>
      </w:r>
      <w:r w:rsidR="001179A7">
        <w:rPr>
          <w:rFonts w:ascii="Times New Roman" w:hAnsi="Times New Roman"/>
        </w:rPr>
        <w:t xml:space="preserve">design details of </w:t>
      </w:r>
      <w:r w:rsidR="001179A7" w:rsidRPr="001179A7">
        <w:rPr>
          <w:rFonts w:ascii="Times New Roman" w:hAnsi="Times New Roman"/>
        </w:rPr>
        <w:t>CB-Msg3-EDT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uring RAN</w:t>
      </w:r>
      <w:r w:rsidR="00404EE5">
        <w:rPr>
          <w:rFonts w:ascii="Times New Roman" w:hAnsi="Times New Roman"/>
        </w:rPr>
        <w:t>2</w:t>
      </w:r>
      <w:r w:rsidR="00EE06D5">
        <w:rPr>
          <w:rFonts w:ascii="Times New Roman" w:hAnsi="Times New Roman"/>
        </w:rPr>
        <w:t># 1</w:t>
      </w:r>
      <w:r w:rsidR="006502FF">
        <w:rPr>
          <w:rFonts w:ascii="Times New Roman" w:hAnsi="Times New Roman"/>
        </w:rPr>
        <w:t>30</w:t>
      </w:r>
      <w:r w:rsidR="00EE06D5">
        <w:rPr>
          <w:rFonts w:ascii="Times New Roman" w:hAnsi="Times New Roman"/>
        </w:rPr>
        <w:t>,</w:t>
      </w:r>
      <w:r w:rsidR="00E30E15">
        <w:rPr>
          <w:rFonts w:ascii="Times New Roman" w:hAnsi="Times New Roman"/>
        </w:rPr>
        <w:t xml:space="preserve"> RAN</w:t>
      </w:r>
      <w:r w:rsidR="00404EE5">
        <w:rPr>
          <w:rFonts w:ascii="Times New Roman" w:hAnsi="Times New Roman"/>
        </w:rPr>
        <w:t>2</w:t>
      </w:r>
      <w:r w:rsidR="00E30E15">
        <w:rPr>
          <w:rFonts w:ascii="Times New Roman" w:hAnsi="Times New Roman"/>
        </w:rPr>
        <w:t xml:space="preserve"> decided to send an LS to RAN1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129"/>
        <w:gridCol w:w="567"/>
        <w:gridCol w:w="7933"/>
      </w:tblGrid>
      <w:tr w:rsidR="001A1369" w:rsidRPr="005E22A2" w14:paraId="04041F24" w14:textId="77777777" w:rsidTr="00F849A4">
        <w:tc>
          <w:tcPr>
            <w:tcW w:w="1696" w:type="dxa"/>
            <w:gridSpan w:val="2"/>
          </w:tcPr>
          <w:p w14:paraId="3418587C" w14:textId="512B5C33" w:rsidR="001A1369" w:rsidRPr="005E22A2"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5E22A2">
              <w:rPr>
                <w:rFonts w:ascii="Arial" w:hAnsi="Arial" w:cs="Arial"/>
                <w:b/>
                <w:bCs/>
                <w:sz w:val="16"/>
                <w:szCs w:val="16"/>
              </w:rPr>
              <w:t>Overall description</w:t>
            </w:r>
          </w:p>
        </w:tc>
        <w:tc>
          <w:tcPr>
            <w:tcW w:w="7933" w:type="dxa"/>
            <w:tcBorders>
              <w:top w:val="nil"/>
              <w:right w:val="nil"/>
            </w:tcBorders>
          </w:tcPr>
          <w:p w14:paraId="22ED4887" w14:textId="2896967F" w:rsidR="001A1369" w:rsidRPr="005E22A2"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5E22A2" w14:paraId="2994405F" w14:textId="77777777" w:rsidTr="35747817">
        <w:tc>
          <w:tcPr>
            <w:tcW w:w="9629" w:type="dxa"/>
            <w:gridSpan w:val="3"/>
          </w:tcPr>
          <w:p w14:paraId="013A7D6F" w14:textId="3166A5C8" w:rsidR="005C7281" w:rsidRPr="005E22A2" w:rsidRDefault="005C7281" w:rsidP="005C7281">
            <w:pPr>
              <w:rPr>
                <w:rFonts w:ascii="Arial" w:eastAsia="DengXian" w:hAnsi="Arial" w:cs="Arial"/>
                <w:sz w:val="16"/>
                <w:szCs w:val="16"/>
                <w:lang w:val="en-US" w:eastAsia="zh-CN"/>
              </w:rPr>
            </w:pPr>
            <w:r w:rsidRPr="005E22A2">
              <w:rPr>
                <w:rFonts w:ascii="Arial" w:eastAsia="DengXian" w:hAnsi="Arial" w:cs="Arial"/>
                <w:sz w:val="16"/>
                <w:szCs w:val="16"/>
                <w:lang w:val="en-US" w:eastAsia="zh-CN"/>
              </w:rPr>
              <w:t>During RAN2#130 meeting, RAN2 discussed CB-msg3-EDT and achieved the following agreements regarding HARQ feedback for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6"/>
            </w:tblGrid>
            <w:tr w:rsidR="005C7281" w:rsidRPr="005E22A2" w14:paraId="32F9E1A9" w14:textId="77777777" w:rsidTr="00062199">
              <w:tc>
                <w:tcPr>
                  <w:tcW w:w="8647" w:type="dxa"/>
                </w:tcPr>
                <w:p w14:paraId="3BEAB702" w14:textId="77777777" w:rsidR="005C7281" w:rsidRPr="00C33B4B" w:rsidRDefault="005C7281" w:rsidP="005C7281">
                  <w:pPr>
                    <w:pStyle w:val="Agreement"/>
                    <w:widowControl w:val="0"/>
                    <w:numPr>
                      <w:ilvl w:val="0"/>
                      <w:numId w:val="0"/>
                    </w:numPr>
                    <w:rPr>
                      <w:sz w:val="16"/>
                      <w:szCs w:val="16"/>
                      <w:lang w:val="en-US"/>
                    </w:rPr>
                  </w:pPr>
                  <w:r w:rsidRPr="00C33B4B">
                    <w:rPr>
                      <w:sz w:val="16"/>
                      <w:szCs w:val="16"/>
                      <w:lang w:val="en-US"/>
                    </w:rPr>
                    <w:t>Agreements regarding HARQ feedback for MSG4 (i.e., CB-msg3 response):</w:t>
                  </w:r>
                </w:p>
                <w:p w14:paraId="367B9D99" w14:textId="77777777" w:rsidR="005C7281" w:rsidRPr="00C33B4B" w:rsidRDefault="005C7281" w:rsidP="005C7281">
                  <w:pPr>
                    <w:pStyle w:val="Agreement"/>
                    <w:widowControl w:val="0"/>
                    <w:numPr>
                      <w:ilvl w:val="0"/>
                      <w:numId w:val="36"/>
                    </w:numPr>
                    <w:rPr>
                      <w:b w:val="0"/>
                      <w:sz w:val="16"/>
                      <w:szCs w:val="16"/>
                      <w:lang w:val="en-US"/>
                    </w:rPr>
                  </w:pPr>
                  <w:r w:rsidRPr="00C33B4B">
                    <w:rPr>
                      <w:b w:val="0"/>
                      <w:sz w:val="16"/>
                      <w:szCs w:val="16"/>
                      <w:lang w:val="en-US"/>
                    </w:rPr>
                    <w:t>The HARQ feedback resource information can be included in the CB-Msg4 together with contention resolution ID which identity the specific UE. RAN2 could revisit this proposal if RAN1 has some concern.</w:t>
                  </w:r>
                </w:p>
                <w:p w14:paraId="3F59BBAB" w14:textId="77777777" w:rsidR="005C7281" w:rsidRPr="005E22A2" w:rsidRDefault="005C7281" w:rsidP="005C7281">
                  <w:pPr>
                    <w:pStyle w:val="Agreement"/>
                    <w:widowControl w:val="0"/>
                    <w:numPr>
                      <w:ilvl w:val="0"/>
                      <w:numId w:val="36"/>
                    </w:numPr>
                    <w:rPr>
                      <w:b w:val="0"/>
                      <w:bCs w:val="0"/>
                      <w:sz w:val="16"/>
                      <w:szCs w:val="16"/>
                    </w:rPr>
                  </w:pPr>
                  <w:r w:rsidRPr="00C33B4B">
                    <w:rPr>
                      <w:b w:val="0"/>
                      <w:sz w:val="16"/>
                      <w:szCs w:val="16"/>
                      <w:lang w:val="en-US"/>
                    </w:rPr>
                    <w:t xml:space="preserve">Whether to send the HARQ feedback for CB-Msg4 can be controlled by NW. </w:t>
                  </w:r>
                  <w:r w:rsidRPr="005E22A2">
                    <w:rPr>
                      <w:b w:val="0"/>
                      <w:bCs w:val="0"/>
                      <w:sz w:val="16"/>
                      <w:szCs w:val="16"/>
                    </w:rPr>
                    <w:t>UE does not send HARQ NACK.</w:t>
                  </w:r>
                </w:p>
                <w:p w14:paraId="708154BA" w14:textId="77777777" w:rsidR="005C7281" w:rsidRPr="00C33B4B" w:rsidRDefault="005C7281" w:rsidP="005C7281">
                  <w:pPr>
                    <w:pStyle w:val="Agreement"/>
                    <w:widowControl w:val="0"/>
                    <w:numPr>
                      <w:ilvl w:val="0"/>
                      <w:numId w:val="36"/>
                    </w:numPr>
                    <w:rPr>
                      <w:b w:val="0"/>
                      <w:sz w:val="16"/>
                      <w:szCs w:val="16"/>
                      <w:lang w:val="en-US"/>
                    </w:rPr>
                  </w:pPr>
                  <w:r w:rsidRPr="00C33B4B">
                    <w:rPr>
                      <w:b w:val="0"/>
                      <w:sz w:val="16"/>
                      <w:szCs w:val="16"/>
                      <w:lang w:val="en-US"/>
                    </w:rPr>
                    <w:t xml:space="preserve">For NB-IoT, the </w:t>
                  </w:r>
                  <w:proofErr w:type="spellStart"/>
                  <w:r w:rsidRPr="00C33B4B">
                    <w:rPr>
                      <w:b w:val="0"/>
                      <w:sz w:val="16"/>
                      <w:szCs w:val="16"/>
                      <w:lang w:val="en-US"/>
                    </w:rPr>
                    <w:t>SubCarrierSpacing</w:t>
                  </w:r>
                  <w:proofErr w:type="spellEnd"/>
                  <w:r w:rsidRPr="00C33B4B">
                    <w:rPr>
                      <w:b w:val="0"/>
                      <w:sz w:val="16"/>
                      <w:szCs w:val="16"/>
                      <w:lang w:val="en-US"/>
                    </w:rPr>
                    <w:t xml:space="preserve"> of the HARQ feedback for CB-Msg4 is same as the CB-Msg3.</w:t>
                  </w:r>
                </w:p>
                <w:p w14:paraId="2C9C59F5" w14:textId="77777777" w:rsidR="005C7281" w:rsidRPr="005E22A2" w:rsidRDefault="005C7281" w:rsidP="005C7281">
                  <w:pPr>
                    <w:pStyle w:val="Agreement"/>
                    <w:widowControl w:val="0"/>
                    <w:numPr>
                      <w:ilvl w:val="0"/>
                      <w:numId w:val="36"/>
                    </w:numPr>
                    <w:rPr>
                      <w:b w:val="0"/>
                      <w:bCs w:val="0"/>
                      <w:sz w:val="16"/>
                      <w:szCs w:val="16"/>
                    </w:rPr>
                  </w:pPr>
                  <w:r w:rsidRPr="00C33B4B">
                    <w:rPr>
                      <w:b w:val="0"/>
                      <w:sz w:val="16"/>
                      <w:szCs w:val="16"/>
                      <w:lang w:val="en-US"/>
                    </w:rPr>
                    <w:t xml:space="preserve">Reuse the existing format of HARQ ACK allocation </w:t>
                  </w:r>
                  <w:proofErr w:type="spellStart"/>
                  <w:r w:rsidRPr="00C33B4B">
                    <w:rPr>
                      <w:b w:val="0"/>
                      <w:sz w:val="16"/>
                      <w:szCs w:val="16"/>
                      <w:lang w:val="en-US"/>
                    </w:rPr>
                    <w:t>signalling</w:t>
                  </w:r>
                  <w:proofErr w:type="spellEnd"/>
                  <w:r w:rsidRPr="00C33B4B">
                    <w:rPr>
                      <w:b w:val="0"/>
                      <w:sz w:val="16"/>
                      <w:szCs w:val="16"/>
                      <w:lang w:val="en-US"/>
                    </w:rPr>
                    <w:t xml:space="preserve"> in the DCI. There is 2-bit HARQ ACK resource for </w:t>
                  </w:r>
                  <w:proofErr w:type="spellStart"/>
                  <w:r w:rsidRPr="00C33B4B">
                    <w:rPr>
                      <w:b w:val="0"/>
                      <w:sz w:val="16"/>
                      <w:szCs w:val="16"/>
                      <w:lang w:val="en-US"/>
                    </w:rPr>
                    <w:t>eMTC</w:t>
                  </w:r>
                  <w:proofErr w:type="spellEnd"/>
                  <w:r w:rsidRPr="00C33B4B">
                    <w:rPr>
                      <w:b w:val="0"/>
                      <w:sz w:val="16"/>
                      <w:szCs w:val="16"/>
                      <w:lang w:val="en-US"/>
                    </w:rPr>
                    <w:t xml:space="preserve"> and 4-bit HARQ ACK resource for NB-IoT. </w:t>
                  </w:r>
                  <w:r w:rsidRPr="005E22A2">
                    <w:rPr>
                      <w:b w:val="0"/>
                      <w:bCs w:val="0"/>
                      <w:sz w:val="16"/>
                      <w:szCs w:val="16"/>
                    </w:rPr>
                    <w:t xml:space="preserve">Reuse the meaning of DCI field in R1 SPEC. </w:t>
                  </w:r>
                </w:p>
                <w:p w14:paraId="0533E58C" w14:textId="77777777" w:rsidR="005C7281" w:rsidRPr="00C33B4B" w:rsidRDefault="005C7281" w:rsidP="005C7281">
                  <w:pPr>
                    <w:pStyle w:val="Agreement"/>
                    <w:widowControl w:val="0"/>
                    <w:numPr>
                      <w:ilvl w:val="0"/>
                      <w:numId w:val="36"/>
                    </w:numPr>
                    <w:rPr>
                      <w:sz w:val="16"/>
                      <w:szCs w:val="16"/>
                      <w:lang w:val="en-US"/>
                    </w:rPr>
                  </w:pPr>
                  <w:r w:rsidRPr="00C33B4B">
                    <w:rPr>
                      <w:b w:val="0"/>
                      <w:sz w:val="16"/>
                      <w:szCs w:val="16"/>
                      <w:lang w:val="en-US"/>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3752D3E8" w14:textId="77777777" w:rsidR="005C7281" w:rsidRPr="005E22A2" w:rsidRDefault="005C7281" w:rsidP="005C7281">
            <w:pPr>
              <w:spacing w:beforeLines="100" w:before="240"/>
              <w:rPr>
                <w:rFonts w:ascii="Arial" w:eastAsia="DengXian" w:hAnsi="Arial" w:cs="Arial"/>
                <w:sz w:val="16"/>
                <w:szCs w:val="16"/>
                <w:lang w:val="en-US" w:eastAsia="zh-CN"/>
              </w:rPr>
            </w:pPr>
            <w:r w:rsidRPr="005E22A2">
              <w:rPr>
                <w:rFonts w:ascii="Arial" w:eastAsia="DengXian" w:hAnsi="Arial" w:cs="Arial"/>
                <w:sz w:val="16"/>
                <w:szCs w:val="16"/>
                <w:lang w:val="en-US" w:eastAsia="zh-CN"/>
              </w:rPr>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6"/>
            </w:tblGrid>
            <w:tr w:rsidR="005C7281" w:rsidRPr="005E22A2" w14:paraId="11276653" w14:textId="77777777" w:rsidTr="00062199">
              <w:tc>
                <w:tcPr>
                  <w:tcW w:w="8647" w:type="dxa"/>
                </w:tcPr>
                <w:p w14:paraId="7F983801" w14:textId="77777777" w:rsidR="005C7281" w:rsidRPr="00C33B4B" w:rsidRDefault="005C7281" w:rsidP="005C7281">
                  <w:pPr>
                    <w:pStyle w:val="Agreement"/>
                    <w:widowControl w:val="0"/>
                    <w:numPr>
                      <w:ilvl w:val="0"/>
                      <w:numId w:val="0"/>
                    </w:numPr>
                    <w:rPr>
                      <w:sz w:val="16"/>
                      <w:szCs w:val="16"/>
                      <w:lang w:val="en-US"/>
                    </w:rPr>
                  </w:pPr>
                  <w:r w:rsidRPr="00C33B4B">
                    <w:rPr>
                      <w:sz w:val="16"/>
                      <w:szCs w:val="16"/>
                      <w:lang w:val="en-US"/>
                    </w:rPr>
                    <w:t>Agreements regarding TAC in MSG4 (i.e., CB-msg3 response):</w:t>
                  </w:r>
                </w:p>
                <w:p w14:paraId="0DA97E92" w14:textId="77777777" w:rsidR="005C7281" w:rsidRPr="00C33B4B" w:rsidRDefault="005C7281" w:rsidP="005C7281">
                  <w:pPr>
                    <w:pStyle w:val="Agreement"/>
                    <w:widowControl w:val="0"/>
                    <w:numPr>
                      <w:ilvl w:val="0"/>
                      <w:numId w:val="36"/>
                    </w:numPr>
                    <w:rPr>
                      <w:b w:val="0"/>
                      <w:sz w:val="16"/>
                      <w:szCs w:val="16"/>
                      <w:lang w:val="en-US"/>
                    </w:rPr>
                  </w:pPr>
                  <w:r w:rsidRPr="00C33B4B">
                    <w:rPr>
                      <w:b w:val="0"/>
                      <w:sz w:val="16"/>
                      <w:szCs w:val="16"/>
                      <w:lang w:val="en-US"/>
                    </w:rPr>
                    <w:t xml:space="preserve">The TAC is optionally used in the CB-Msg3 response. </w:t>
                  </w:r>
                </w:p>
                <w:p w14:paraId="3A69526C" w14:textId="77777777" w:rsidR="005C7281" w:rsidRPr="00C33B4B" w:rsidRDefault="005C7281" w:rsidP="005C7281">
                  <w:pPr>
                    <w:pStyle w:val="Agreement"/>
                    <w:widowControl w:val="0"/>
                    <w:numPr>
                      <w:ilvl w:val="0"/>
                      <w:numId w:val="36"/>
                    </w:numPr>
                    <w:rPr>
                      <w:b w:val="0"/>
                      <w:sz w:val="16"/>
                      <w:szCs w:val="16"/>
                      <w:lang w:val="en-US"/>
                    </w:rPr>
                  </w:pPr>
                  <w:r w:rsidRPr="00C33B4B">
                    <w:rPr>
                      <w:b w:val="0"/>
                      <w:sz w:val="16"/>
                      <w:szCs w:val="16"/>
                      <w:lang w:val="en-US"/>
                    </w:rPr>
                    <w:t xml:space="preserve">RAN2 assumes that NTA=0 for initial CB-msg3 transmission. </w:t>
                  </w:r>
                </w:p>
                <w:p w14:paraId="758BD997" w14:textId="77777777" w:rsidR="005C7281" w:rsidRPr="00C33B4B" w:rsidRDefault="005C7281" w:rsidP="005C7281">
                  <w:pPr>
                    <w:pStyle w:val="Agreement"/>
                    <w:widowControl w:val="0"/>
                    <w:numPr>
                      <w:ilvl w:val="0"/>
                      <w:numId w:val="36"/>
                    </w:numPr>
                    <w:rPr>
                      <w:b w:val="0"/>
                      <w:sz w:val="16"/>
                      <w:szCs w:val="16"/>
                      <w:lang w:val="en-US"/>
                    </w:rPr>
                  </w:pPr>
                  <w:r w:rsidRPr="00C33B4B">
                    <w:rPr>
                      <w:b w:val="0"/>
                      <w:sz w:val="16"/>
                      <w:szCs w:val="16"/>
                      <w:lang w:val="en-US"/>
                    </w:rPr>
                    <w:t>RAN2 assumes the length of the TAC field is 6 bits (we can revisit this if there is major R1 impact on TA calculation)</w:t>
                  </w:r>
                </w:p>
              </w:tc>
            </w:tr>
          </w:tbl>
          <w:p w14:paraId="2F8D4A5B" w14:textId="77777777" w:rsidR="005C7281" w:rsidRPr="005E22A2" w:rsidRDefault="005C7281" w:rsidP="005C7281">
            <w:pPr>
              <w:spacing w:beforeLines="100" w:before="240" w:after="0"/>
              <w:rPr>
                <w:rFonts w:ascii="Arial" w:eastAsia="DengXian" w:hAnsi="Arial" w:cs="Arial"/>
                <w:sz w:val="16"/>
                <w:szCs w:val="16"/>
                <w:lang w:val="en-US" w:eastAsia="zh-CN"/>
              </w:rPr>
            </w:pPr>
            <w:r w:rsidRPr="005E22A2">
              <w:rPr>
                <w:rFonts w:ascii="Arial" w:eastAsia="DengXian" w:hAnsi="Arial" w:cs="Arial" w:hint="eastAsia"/>
                <w:sz w:val="16"/>
                <w:szCs w:val="16"/>
                <w:lang w:val="en-US" w:eastAsia="zh-CN"/>
              </w:rPr>
              <w:t>R</w:t>
            </w:r>
            <w:r w:rsidRPr="005E22A2">
              <w:rPr>
                <w:rFonts w:ascii="Arial" w:eastAsia="DengXian" w:hAnsi="Arial" w:cs="Arial"/>
                <w:sz w:val="16"/>
                <w:szCs w:val="16"/>
                <w:lang w:val="en-US" w:eastAsia="zh-CN"/>
              </w:rPr>
              <w:t xml:space="preserve">AN2 would like to check </w:t>
            </w:r>
            <w:proofErr w:type="gramStart"/>
            <w:r w:rsidRPr="005E22A2">
              <w:rPr>
                <w:rFonts w:ascii="Arial" w:eastAsia="DengXian" w:hAnsi="Arial" w:cs="Arial"/>
                <w:sz w:val="16"/>
                <w:szCs w:val="16"/>
                <w:lang w:val="en-US" w:eastAsia="zh-CN"/>
              </w:rPr>
              <w:t>following</w:t>
            </w:r>
            <w:proofErr w:type="gramEnd"/>
            <w:r w:rsidRPr="005E22A2">
              <w:rPr>
                <w:rFonts w:ascii="Arial" w:eastAsia="DengXian" w:hAnsi="Arial" w:cs="Arial"/>
                <w:sz w:val="16"/>
                <w:szCs w:val="16"/>
                <w:lang w:val="en-US" w:eastAsia="zh-CN"/>
              </w:rPr>
              <w:t xml:space="preserve">: </w:t>
            </w:r>
          </w:p>
          <w:p w14:paraId="5A6A547B" w14:textId="77777777" w:rsidR="005C7281" w:rsidRPr="005E22A2" w:rsidRDefault="005C7281" w:rsidP="005C7281">
            <w:pPr>
              <w:numPr>
                <w:ilvl w:val="0"/>
                <w:numId w:val="37"/>
              </w:numPr>
              <w:overflowPunct/>
              <w:snapToGrid w:val="0"/>
              <w:spacing w:beforeLines="100" w:before="240" w:after="120"/>
              <w:jc w:val="both"/>
              <w:textAlignment w:val="auto"/>
              <w:rPr>
                <w:rFonts w:ascii="Arial" w:eastAsia="DengXian" w:hAnsi="Arial" w:cs="Arial"/>
                <w:sz w:val="16"/>
                <w:szCs w:val="16"/>
                <w:lang w:val="en-US" w:eastAsia="zh-CN"/>
              </w:rPr>
            </w:pPr>
            <w:r w:rsidRPr="005E22A2">
              <w:rPr>
                <w:rFonts w:ascii="Arial" w:eastAsia="DengXian" w:hAnsi="Arial" w:cs="Arial"/>
                <w:sz w:val="16"/>
                <w:szCs w:val="16"/>
                <w:lang w:val="en-US" w:eastAsia="zh-CN"/>
              </w:rPr>
              <w:t>whether there is any concern from RAN1 on the agreements regarding HARQ feedback for MSG4</w:t>
            </w:r>
          </w:p>
          <w:p w14:paraId="3C37E134" w14:textId="77777777" w:rsidR="005C7281" w:rsidRPr="005E22A2" w:rsidRDefault="005C7281" w:rsidP="005B5EE9">
            <w:pPr>
              <w:numPr>
                <w:ilvl w:val="0"/>
                <w:numId w:val="37"/>
              </w:numPr>
              <w:overflowPunct/>
              <w:snapToGrid w:val="0"/>
              <w:spacing w:after="0"/>
              <w:ind w:left="357" w:hanging="357"/>
              <w:jc w:val="both"/>
              <w:textAlignment w:val="auto"/>
              <w:rPr>
                <w:rFonts w:ascii="Arial" w:eastAsia="DengXian" w:hAnsi="Arial" w:cs="Arial"/>
                <w:sz w:val="16"/>
                <w:szCs w:val="16"/>
                <w:lang w:val="en-US" w:eastAsia="zh-CN"/>
              </w:rPr>
            </w:pPr>
            <w:r w:rsidRPr="005E22A2">
              <w:rPr>
                <w:rFonts w:ascii="Arial" w:eastAsia="DengXian" w:hAnsi="Arial" w:cs="Arial"/>
                <w:sz w:val="16"/>
                <w:szCs w:val="16"/>
                <w:lang w:val="en-US" w:eastAsia="zh-CN"/>
              </w:rPr>
              <w:t xml:space="preserve"> whether there is any concern from RAN1 and RAN4 on the agreements regarding TAC in MSG4</w:t>
            </w:r>
          </w:p>
          <w:p w14:paraId="35F59650" w14:textId="36294FEC" w:rsidR="005C7281" w:rsidRPr="005E22A2" w:rsidRDefault="005C7281" w:rsidP="006E030C">
            <w:pPr>
              <w:rPr>
                <w:rFonts w:ascii="Arial" w:hAnsi="Arial" w:cs="Arial"/>
                <w:sz w:val="16"/>
                <w:szCs w:val="16"/>
                <w:lang w:val="en-US"/>
              </w:rPr>
            </w:pPr>
          </w:p>
        </w:tc>
      </w:tr>
      <w:tr w:rsidR="008E7339" w:rsidRPr="005E22A2" w14:paraId="2657D528" w14:textId="77777777" w:rsidTr="001726B8">
        <w:tblPrEx>
          <w:tblBorders>
            <w:top w:val="none" w:sz="0" w:space="0" w:color="auto"/>
            <w:right w:val="none" w:sz="0" w:space="0" w:color="auto"/>
          </w:tblBorders>
        </w:tblPrEx>
        <w:tc>
          <w:tcPr>
            <w:tcW w:w="1129" w:type="dxa"/>
            <w:tcBorders>
              <w:top w:val="single" w:sz="4" w:space="0" w:color="auto"/>
              <w:bottom w:val="single" w:sz="4" w:space="0" w:color="auto"/>
              <w:right w:val="single" w:sz="0" w:space="0" w:color="000000" w:themeColor="text1"/>
            </w:tcBorders>
          </w:tcPr>
          <w:p w14:paraId="6EB2B174" w14:textId="28535CDE" w:rsidR="008E7339" w:rsidRPr="005E22A2" w:rsidRDefault="008E7339" w:rsidP="00652F2E">
            <w:pPr>
              <w:pStyle w:val="BodyText"/>
              <w:spacing w:before="120"/>
              <w:rPr>
                <w:rFonts w:ascii="Times New Roman" w:hAnsi="Times New Roman"/>
                <w:sz w:val="16"/>
                <w:szCs w:val="16"/>
                <w:lang w:val="en-US"/>
              </w:rPr>
            </w:pPr>
            <w:r w:rsidRPr="005E22A2">
              <w:rPr>
                <w:rFonts w:cs="Arial"/>
                <w:b/>
                <w:bCs/>
                <w:sz w:val="16"/>
                <w:szCs w:val="16"/>
                <w:lang w:val="en-US" w:eastAsia="ja-JP"/>
              </w:rPr>
              <w:t>To RAN</w:t>
            </w:r>
            <w:r w:rsidR="001726B8" w:rsidRPr="005E22A2">
              <w:rPr>
                <w:rFonts w:cs="Arial"/>
                <w:b/>
                <w:bCs/>
                <w:sz w:val="16"/>
                <w:szCs w:val="16"/>
                <w:lang w:val="en-US" w:eastAsia="ja-JP"/>
              </w:rPr>
              <w:t>1</w:t>
            </w:r>
            <w:r w:rsidR="00DA4EE3" w:rsidRPr="005E22A2">
              <w:rPr>
                <w:rFonts w:cs="Arial"/>
                <w:b/>
                <w:bCs/>
                <w:sz w:val="16"/>
                <w:szCs w:val="16"/>
                <w:lang w:val="en-US" w:eastAsia="ja-JP"/>
              </w:rPr>
              <w:t xml:space="preserve"> &amp; RAN</w:t>
            </w:r>
            <w:r w:rsidR="00797ED9" w:rsidRPr="005E22A2">
              <w:rPr>
                <w:rFonts w:cs="Arial"/>
                <w:b/>
                <w:bCs/>
                <w:sz w:val="16"/>
                <w:szCs w:val="16"/>
                <w:lang w:val="en-US" w:eastAsia="ja-JP"/>
              </w:rPr>
              <w:t>4</w:t>
            </w:r>
          </w:p>
        </w:tc>
        <w:tc>
          <w:tcPr>
            <w:tcW w:w="8500" w:type="dxa"/>
            <w:gridSpan w:val="2"/>
            <w:tcBorders>
              <w:top w:val="single" w:sz="0" w:space="0" w:color="000000" w:themeColor="text1"/>
              <w:bottom w:val="single" w:sz="4" w:space="0" w:color="auto"/>
              <w:right w:val="single" w:sz="0" w:space="0" w:color="000000" w:themeColor="text1"/>
            </w:tcBorders>
          </w:tcPr>
          <w:p w14:paraId="04F7828C" w14:textId="5FC048B8" w:rsidR="008E7339" w:rsidRPr="005E22A2" w:rsidRDefault="008E7339" w:rsidP="00652F2E">
            <w:pPr>
              <w:pStyle w:val="BodyText"/>
              <w:spacing w:before="120"/>
              <w:rPr>
                <w:rFonts w:ascii="Times New Roman" w:hAnsi="Times New Roman"/>
                <w:sz w:val="16"/>
                <w:szCs w:val="16"/>
                <w:lang w:val="en-US"/>
              </w:rPr>
            </w:pPr>
          </w:p>
        </w:tc>
      </w:tr>
      <w:tr w:rsidR="008E7339" w:rsidRPr="005E22A2"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7FAB3174" w:rsidR="008E7339" w:rsidRPr="005E22A2"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5E22A2">
              <w:rPr>
                <w:rFonts w:ascii="Arial" w:eastAsiaTheme="minorEastAsia" w:hAnsi="Arial" w:cs="Arial"/>
                <w:b/>
                <w:sz w:val="16"/>
                <w:szCs w:val="16"/>
                <w:lang w:val="en-US" w:eastAsia="en-US"/>
              </w:rPr>
              <w:t>ACTION:</w:t>
            </w:r>
            <w:r w:rsidR="00797ED9" w:rsidRPr="005E22A2">
              <w:rPr>
                <w:rFonts w:ascii="Arial" w:eastAsiaTheme="minorEastAsia" w:hAnsi="Arial" w:cs="Arial"/>
                <w:sz w:val="16"/>
                <w:szCs w:val="16"/>
                <w:lang w:val="en-US" w:eastAsia="en-US"/>
              </w:rPr>
              <w:t xml:space="preserve"> RAN2 respectfully asks RAN1 and RAN4 to provide feedback if any and take the above information into account in the specification work if necessary.</w:t>
            </w:r>
          </w:p>
          <w:p w14:paraId="12991E06" w14:textId="624E702A" w:rsidR="00F849A4" w:rsidRPr="005E22A2"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4D72443F"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1726B8">
        <w:rPr>
          <w:rFonts w:ascii="Times New Roman" w:hAnsi="Times New Roman"/>
        </w:rPr>
        <w:t>question</w:t>
      </w:r>
      <w:r w:rsidR="001145CF">
        <w:rPr>
          <w:rFonts w:ascii="Times New Roman" w:hAnsi="Times New Roman"/>
        </w:rPr>
        <w:t xml:space="preserve">s that RAN2 </w:t>
      </w:r>
      <w:r w:rsidR="003409A3">
        <w:rPr>
          <w:rFonts w:ascii="Times New Roman" w:hAnsi="Times New Roman"/>
        </w:rPr>
        <w:t xml:space="preserve">has for RAN1 on the </w:t>
      </w:r>
      <w:r w:rsidR="003409A3" w:rsidRPr="003409A3">
        <w:rPr>
          <w:rFonts w:ascii="Times New Roman" w:hAnsi="Times New Roman"/>
        </w:rPr>
        <w:t>CB-Msg3-EDT</w:t>
      </w:r>
      <w:r w:rsidR="003409A3">
        <w:rPr>
          <w:rFonts w:ascii="Times New Roman" w:hAnsi="Times New Roman"/>
        </w:rPr>
        <w:t xml:space="preserve"> feature</w:t>
      </w:r>
      <w:r w:rsidR="005124B9">
        <w:rPr>
          <w:rFonts w:ascii="Times New Roman" w:hAnsi="Times New Roman"/>
        </w:rPr>
        <w:t>.</w:t>
      </w:r>
      <w:r w:rsidR="000845DC">
        <w:rPr>
          <w:rFonts w:ascii="Times New Roman" w:hAnsi="Times New Roman"/>
        </w:rPr>
        <w:t xml:space="preserve"> </w:t>
      </w:r>
    </w:p>
    <w:p w14:paraId="192CB251" w14:textId="0EA7B8E7" w:rsidR="00574B33" w:rsidRDefault="00574B33" w:rsidP="00574B33">
      <w:pPr>
        <w:pStyle w:val="Heading1"/>
      </w:pPr>
      <w:r>
        <w:lastRenderedPageBreak/>
        <w:t>2</w:t>
      </w:r>
      <w:r>
        <w:tab/>
      </w:r>
      <w:r w:rsidR="00271B79">
        <w:t>Answers</w:t>
      </w:r>
      <w:r w:rsidR="00F714FA">
        <w:t xml:space="preserve"> </w:t>
      </w:r>
      <w:r w:rsidR="00271B79">
        <w:t>to</w:t>
      </w:r>
      <w:r w:rsidR="00F714FA">
        <w:t xml:space="preserve"> the </w:t>
      </w:r>
      <w:r w:rsidR="00E47FB5">
        <w:t>questions related to CB-Msg3-EDT</w:t>
      </w:r>
      <w:r w:rsidR="00F714FA">
        <w:t xml:space="preserve"> </w:t>
      </w:r>
    </w:p>
    <w:p w14:paraId="6E1B7373" w14:textId="571E9772" w:rsidR="00320A8E" w:rsidRDefault="00317122" w:rsidP="00320A8E">
      <w:pPr>
        <w:pStyle w:val="BodyText"/>
        <w:rPr>
          <w:rFonts w:ascii="Times New Roman" w:hAnsi="Times New Roman"/>
        </w:rPr>
      </w:pPr>
      <w:r>
        <w:rPr>
          <w:rFonts w:ascii="Times New Roman" w:hAnsi="Times New Roman"/>
        </w:rPr>
        <w:t>Below we</w:t>
      </w:r>
      <w:r w:rsidR="00320A8E">
        <w:rPr>
          <w:rFonts w:ascii="Times New Roman" w:hAnsi="Times New Roman"/>
        </w:rPr>
        <w:t xml:space="preserve"> describe the steps followed by legacy Early Data Transmission (EDT) as to compare</w:t>
      </w:r>
      <w:r w:rsidR="009A6685">
        <w:rPr>
          <w:rFonts w:ascii="Times New Roman" w:hAnsi="Times New Roman"/>
        </w:rPr>
        <w:t xml:space="preserve"> it</w:t>
      </w:r>
      <w:r w:rsidR="00320A8E">
        <w:rPr>
          <w:rFonts w:ascii="Times New Roman" w:hAnsi="Times New Roman"/>
        </w:rPr>
        <w:t xml:space="preserve"> with</w:t>
      </w:r>
      <w:r w:rsidR="00970F64">
        <w:rPr>
          <w:rFonts w:ascii="Times New Roman" w:hAnsi="Times New Roman"/>
        </w:rPr>
        <w:t xml:space="preserve"> respect to</w:t>
      </w:r>
      <w:r w:rsidR="00320A8E">
        <w:rPr>
          <w:rFonts w:ascii="Times New Roman" w:hAnsi="Times New Roman"/>
        </w:rPr>
        <w:t xml:space="preserve"> what is intended to be achieved with “CB-msg3 NPUSCH” EDT:</w:t>
      </w:r>
    </w:p>
    <w:tbl>
      <w:tblPr>
        <w:tblStyle w:val="TableGrid"/>
        <w:tblW w:w="0" w:type="auto"/>
        <w:tblLook w:val="04A0" w:firstRow="1" w:lastRow="0" w:firstColumn="1" w:lastColumn="0" w:noHBand="0" w:noVBand="1"/>
      </w:tblPr>
      <w:tblGrid>
        <w:gridCol w:w="4814"/>
        <w:gridCol w:w="4815"/>
      </w:tblGrid>
      <w:tr w:rsidR="00320A8E" w:rsidRPr="00882401" w14:paraId="6697461D" w14:textId="77777777" w:rsidTr="00FA3FFB">
        <w:tc>
          <w:tcPr>
            <w:tcW w:w="4814" w:type="dxa"/>
            <w:shd w:val="clear" w:color="auto" w:fill="D9D9D9" w:themeFill="background1" w:themeFillShade="D9"/>
          </w:tcPr>
          <w:p w14:paraId="2E28E54F" w14:textId="77777777" w:rsidR="00320A8E" w:rsidRPr="00882401" w:rsidRDefault="00320A8E" w:rsidP="00FA3FFB">
            <w:pPr>
              <w:pStyle w:val="BodyText"/>
              <w:jc w:val="center"/>
              <w:rPr>
                <w:rFonts w:ascii="Times New Roman" w:hAnsi="Times New Roman"/>
                <w:sz w:val="16"/>
                <w:szCs w:val="16"/>
              </w:rPr>
            </w:pPr>
            <w:r w:rsidRPr="00882401">
              <w:rPr>
                <w:rFonts w:ascii="Times New Roman" w:hAnsi="Times New Roman"/>
                <w:sz w:val="16"/>
                <w:szCs w:val="16"/>
              </w:rPr>
              <w:t>Legacy EDT</w:t>
            </w:r>
          </w:p>
        </w:tc>
        <w:tc>
          <w:tcPr>
            <w:tcW w:w="4815" w:type="dxa"/>
            <w:shd w:val="clear" w:color="auto" w:fill="D9D9D9" w:themeFill="background1" w:themeFillShade="D9"/>
          </w:tcPr>
          <w:p w14:paraId="71F1DC24" w14:textId="77777777" w:rsidR="00320A8E" w:rsidRPr="00882401" w:rsidRDefault="00320A8E" w:rsidP="00FA3FFB">
            <w:pPr>
              <w:pStyle w:val="BodyText"/>
              <w:jc w:val="center"/>
              <w:rPr>
                <w:rFonts w:ascii="Times New Roman" w:hAnsi="Times New Roman"/>
                <w:sz w:val="16"/>
                <w:szCs w:val="16"/>
              </w:rPr>
            </w:pPr>
            <w:bookmarkStart w:id="0" w:name="_Hlk181879203"/>
            <w:r w:rsidRPr="00882401">
              <w:rPr>
                <w:rFonts w:ascii="Times New Roman" w:hAnsi="Times New Roman"/>
                <w:sz w:val="16"/>
                <w:szCs w:val="16"/>
              </w:rPr>
              <w:t>Rel-19 CB-msg3 NPUSCH EDT</w:t>
            </w:r>
            <w:bookmarkEnd w:id="0"/>
          </w:p>
        </w:tc>
      </w:tr>
      <w:tr w:rsidR="00320A8E" w:rsidRPr="00882401" w14:paraId="48249F4F" w14:textId="77777777" w:rsidTr="00FA3FFB">
        <w:tc>
          <w:tcPr>
            <w:tcW w:w="4814" w:type="dxa"/>
          </w:tcPr>
          <w:p w14:paraId="5469BC3F" w14:textId="77777777" w:rsidR="00320A8E" w:rsidRPr="00882401" w:rsidRDefault="00320A8E" w:rsidP="00320A8E">
            <w:pPr>
              <w:pStyle w:val="BodyText"/>
              <w:numPr>
                <w:ilvl w:val="0"/>
                <w:numId w:val="38"/>
              </w:numPr>
              <w:rPr>
                <w:rFonts w:ascii="Times New Roman" w:hAnsi="Times New Roman"/>
                <w:sz w:val="16"/>
                <w:szCs w:val="16"/>
                <w:lang w:val="en-US"/>
              </w:rPr>
            </w:pPr>
            <w:r w:rsidRPr="00882401">
              <w:rPr>
                <w:rFonts w:ascii="Times New Roman" w:hAnsi="Times New Roman"/>
                <w:sz w:val="16"/>
                <w:szCs w:val="16"/>
                <w:lang w:val="en-US"/>
              </w:rPr>
              <w:t xml:space="preserve">By transmitting an NPRACH preamble from the configured set of EDT preambles, the NB-IoT UE indicates to the </w:t>
            </w:r>
            <w:proofErr w:type="spellStart"/>
            <w:r w:rsidRPr="00882401">
              <w:rPr>
                <w:rFonts w:ascii="Times New Roman" w:hAnsi="Times New Roman"/>
                <w:sz w:val="16"/>
                <w:szCs w:val="16"/>
                <w:lang w:val="en-US"/>
              </w:rPr>
              <w:t>eNodeB</w:t>
            </w:r>
            <w:proofErr w:type="spellEnd"/>
            <w:r w:rsidRPr="00882401">
              <w:rPr>
                <w:rFonts w:ascii="Times New Roman" w:hAnsi="Times New Roman"/>
                <w:sz w:val="16"/>
                <w:szCs w:val="16"/>
                <w:lang w:val="en-US"/>
              </w:rPr>
              <w:t xml:space="preserve"> that it has data to be transmitted via Msg3.</w:t>
            </w:r>
          </w:p>
          <w:p w14:paraId="7767A46F" w14:textId="77777777" w:rsidR="00320A8E" w:rsidRPr="00882401" w:rsidRDefault="00320A8E" w:rsidP="00320A8E">
            <w:pPr>
              <w:pStyle w:val="BodyText"/>
              <w:numPr>
                <w:ilvl w:val="0"/>
                <w:numId w:val="38"/>
              </w:numPr>
              <w:rPr>
                <w:rFonts w:ascii="Times New Roman" w:hAnsi="Times New Roman"/>
                <w:sz w:val="16"/>
                <w:szCs w:val="16"/>
                <w:lang w:val="en-US"/>
              </w:rPr>
            </w:pPr>
            <w:r w:rsidRPr="00882401">
              <w:rPr>
                <w:rFonts w:ascii="Times New Roman" w:hAnsi="Times New Roman"/>
                <w:sz w:val="16"/>
                <w:szCs w:val="16"/>
                <w:lang w:val="en-US"/>
              </w:rPr>
              <w:t xml:space="preserve">Upon detecting the EDT preamble, the </w:t>
            </w:r>
            <w:proofErr w:type="spellStart"/>
            <w:r w:rsidRPr="00882401">
              <w:rPr>
                <w:rFonts w:ascii="Times New Roman" w:hAnsi="Times New Roman"/>
                <w:sz w:val="16"/>
                <w:szCs w:val="16"/>
                <w:lang w:val="en-US"/>
              </w:rPr>
              <w:t>eNodeB</w:t>
            </w:r>
            <w:proofErr w:type="spellEnd"/>
            <w:r w:rsidRPr="00882401">
              <w:rPr>
                <w:rFonts w:ascii="Times New Roman" w:hAnsi="Times New Roman"/>
                <w:sz w:val="16"/>
                <w:szCs w:val="16"/>
                <w:lang w:val="en-US"/>
              </w:rPr>
              <w:t xml:space="preserve"> responds with Msg2 (NPDCCH [DCI Format N1] + NPDSCH).</w:t>
            </w:r>
          </w:p>
          <w:p w14:paraId="5E1C3793" w14:textId="77777777" w:rsidR="00320A8E" w:rsidRPr="00882401" w:rsidRDefault="00320A8E" w:rsidP="00320A8E">
            <w:pPr>
              <w:pStyle w:val="BodyText"/>
              <w:numPr>
                <w:ilvl w:val="0"/>
                <w:numId w:val="38"/>
              </w:numPr>
              <w:rPr>
                <w:rFonts w:ascii="Times New Roman" w:hAnsi="Times New Roman"/>
                <w:sz w:val="16"/>
                <w:szCs w:val="16"/>
                <w:lang w:val="en-US"/>
              </w:rPr>
            </w:pPr>
            <w:r w:rsidRPr="00882401">
              <w:rPr>
                <w:rFonts w:ascii="Times New Roman" w:hAnsi="Times New Roman"/>
                <w:sz w:val="16"/>
                <w:szCs w:val="16"/>
                <w:lang w:val="en-US"/>
              </w:rPr>
              <w:t xml:space="preserve">Then, upon receiving the response from </w:t>
            </w:r>
            <w:proofErr w:type="gramStart"/>
            <w:r w:rsidRPr="00882401">
              <w:rPr>
                <w:rFonts w:ascii="Times New Roman" w:hAnsi="Times New Roman"/>
                <w:sz w:val="16"/>
                <w:szCs w:val="16"/>
                <w:lang w:val="en-US"/>
              </w:rPr>
              <w:t xml:space="preserve">the </w:t>
            </w:r>
            <w:proofErr w:type="spellStart"/>
            <w:r w:rsidRPr="00882401">
              <w:rPr>
                <w:rFonts w:ascii="Times New Roman" w:hAnsi="Times New Roman"/>
                <w:sz w:val="16"/>
                <w:szCs w:val="16"/>
                <w:lang w:val="en-US"/>
              </w:rPr>
              <w:t>eNodeB</w:t>
            </w:r>
            <w:proofErr w:type="spellEnd"/>
            <w:proofErr w:type="gramEnd"/>
            <w:r w:rsidRPr="00882401">
              <w:rPr>
                <w:rFonts w:ascii="Times New Roman" w:hAnsi="Times New Roman"/>
                <w:sz w:val="16"/>
                <w:szCs w:val="16"/>
                <w:lang w:val="en-US"/>
              </w:rPr>
              <w:t xml:space="preserve"> as per the previous step, the NB-IoT UE will transmit data through Msg3 (NPUSCH).</w:t>
            </w:r>
          </w:p>
          <w:p w14:paraId="7B8CE8FA" w14:textId="77777777" w:rsidR="00320A8E" w:rsidRPr="00882401" w:rsidRDefault="00320A8E" w:rsidP="00320A8E">
            <w:pPr>
              <w:pStyle w:val="BodyText"/>
              <w:numPr>
                <w:ilvl w:val="1"/>
                <w:numId w:val="38"/>
              </w:numPr>
              <w:rPr>
                <w:rFonts w:ascii="Times New Roman" w:hAnsi="Times New Roman"/>
                <w:sz w:val="16"/>
                <w:szCs w:val="16"/>
                <w:lang w:val="en-US"/>
              </w:rPr>
            </w:pPr>
            <w:r w:rsidRPr="00882401">
              <w:rPr>
                <w:rFonts w:ascii="Times New Roman" w:hAnsi="Times New Roman"/>
                <w:sz w:val="16"/>
                <w:szCs w:val="16"/>
                <w:lang w:val="en-US"/>
              </w:rPr>
              <w:t xml:space="preserve">The small amount of data to be transmitted via Msg3 consists of TBSs &lt; 1000 bits. </w:t>
            </w:r>
          </w:p>
          <w:p w14:paraId="67D2B235" w14:textId="77777777" w:rsidR="00320A8E" w:rsidRPr="00882401" w:rsidRDefault="00320A8E" w:rsidP="00320A8E">
            <w:pPr>
              <w:pStyle w:val="BodyText"/>
              <w:numPr>
                <w:ilvl w:val="0"/>
                <w:numId w:val="38"/>
              </w:numPr>
              <w:rPr>
                <w:rFonts w:ascii="Times New Roman" w:hAnsi="Times New Roman"/>
                <w:sz w:val="16"/>
                <w:szCs w:val="16"/>
                <w:lang w:val="en-US"/>
              </w:rPr>
            </w:pPr>
            <w:r w:rsidRPr="00882401">
              <w:rPr>
                <w:rFonts w:ascii="Times New Roman" w:hAnsi="Times New Roman"/>
                <w:sz w:val="16"/>
                <w:szCs w:val="16"/>
                <w:lang w:val="en-US"/>
              </w:rPr>
              <w:t xml:space="preserve">Thereafter, using Msg4 the </w:t>
            </w:r>
            <w:proofErr w:type="spellStart"/>
            <w:r w:rsidRPr="00882401">
              <w:rPr>
                <w:rFonts w:ascii="Times New Roman" w:hAnsi="Times New Roman"/>
                <w:sz w:val="16"/>
                <w:szCs w:val="16"/>
                <w:lang w:val="en-US"/>
              </w:rPr>
              <w:t>eNodeB</w:t>
            </w:r>
            <w:proofErr w:type="spellEnd"/>
            <w:r w:rsidRPr="00882401">
              <w:rPr>
                <w:rFonts w:ascii="Times New Roman" w:hAnsi="Times New Roman"/>
                <w:sz w:val="16"/>
                <w:szCs w:val="16"/>
                <w:lang w:val="en-US"/>
              </w:rPr>
              <w:t xml:space="preserve"> responds to the NB-IoT UE (NPDCCH [DCI Format N1] + NPDSCH). </w:t>
            </w:r>
          </w:p>
        </w:tc>
        <w:tc>
          <w:tcPr>
            <w:tcW w:w="4815" w:type="dxa"/>
          </w:tcPr>
          <w:p w14:paraId="190B90F8" w14:textId="77777777" w:rsidR="00320A8E" w:rsidRPr="00882401" w:rsidRDefault="00320A8E" w:rsidP="00320A8E">
            <w:pPr>
              <w:pStyle w:val="BodyText"/>
              <w:numPr>
                <w:ilvl w:val="0"/>
                <w:numId w:val="40"/>
              </w:numPr>
              <w:rPr>
                <w:rFonts w:ascii="Times New Roman" w:hAnsi="Times New Roman"/>
                <w:sz w:val="16"/>
                <w:szCs w:val="16"/>
                <w:highlight w:val="yellow"/>
              </w:rPr>
            </w:pPr>
            <w:r w:rsidRPr="00882401">
              <w:rPr>
                <w:rFonts w:ascii="Times New Roman" w:hAnsi="Times New Roman"/>
                <w:sz w:val="16"/>
                <w:szCs w:val="16"/>
                <w:highlight w:val="yellow"/>
              </w:rPr>
              <w:t>Skipped step.</w:t>
            </w:r>
          </w:p>
          <w:p w14:paraId="6BC53B47" w14:textId="77777777" w:rsidR="00320A8E" w:rsidRPr="00882401" w:rsidRDefault="00320A8E" w:rsidP="00320A8E">
            <w:pPr>
              <w:pStyle w:val="BodyText"/>
              <w:numPr>
                <w:ilvl w:val="0"/>
                <w:numId w:val="40"/>
              </w:numPr>
              <w:rPr>
                <w:rFonts w:ascii="Times New Roman" w:hAnsi="Times New Roman"/>
                <w:sz w:val="16"/>
                <w:szCs w:val="16"/>
                <w:highlight w:val="yellow"/>
              </w:rPr>
            </w:pPr>
            <w:r w:rsidRPr="00882401">
              <w:rPr>
                <w:rFonts w:ascii="Times New Roman" w:hAnsi="Times New Roman"/>
                <w:sz w:val="16"/>
                <w:szCs w:val="16"/>
                <w:highlight w:val="yellow"/>
              </w:rPr>
              <w:t>Skipped step.</w:t>
            </w:r>
          </w:p>
          <w:p w14:paraId="0880140C" w14:textId="77777777" w:rsidR="00320A8E" w:rsidRPr="00882401" w:rsidRDefault="00320A8E" w:rsidP="00320A8E">
            <w:pPr>
              <w:pStyle w:val="BodyText"/>
              <w:numPr>
                <w:ilvl w:val="0"/>
                <w:numId w:val="40"/>
              </w:numPr>
              <w:rPr>
                <w:rFonts w:ascii="Times New Roman" w:hAnsi="Times New Roman"/>
                <w:sz w:val="16"/>
                <w:szCs w:val="16"/>
                <w:highlight w:val="yellow"/>
                <w:lang w:val="en-US"/>
              </w:rPr>
            </w:pPr>
            <w:r w:rsidRPr="00882401">
              <w:rPr>
                <w:rFonts w:ascii="Times New Roman" w:hAnsi="Times New Roman"/>
                <w:sz w:val="16"/>
                <w:szCs w:val="16"/>
                <w:highlight w:val="yellow"/>
                <w:lang w:val="en-US"/>
              </w:rPr>
              <w:t>The NB-IoT UE will transmit data through Msg3 (NPUSCH) on time-frequency resources randomly selected from a pool of NPUSCH resources.</w:t>
            </w:r>
          </w:p>
          <w:p w14:paraId="348DD093" w14:textId="77777777" w:rsidR="00320A8E" w:rsidRPr="00882401" w:rsidRDefault="00320A8E" w:rsidP="00320A8E">
            <w:pPr>
              <w:pStyle w:val="BodyText"/>
              <w:numPr>
                <w:ilvl w:val="1"/>
                <w:numId w:val="39"/>
              </w:numPr>
              <w:rPr>
                <w:rFonts w:ascii="Times New Roman" w:hAnsi="Times New Roman"/>
                <w:sz w:val="16"/>
                <w:szCs w:val="16"/>
                <w:lang w:val="en-US"/>
              </w:rPr>
            </w:pPr>
            <w:r w:rsidRPr="00882401">
              <w:rPr>
                <w:rFonts w:ascii="Times New Roman" w:hAnsi="Times New Roman"/>
                <w:sz w:val="16"/>
                <w:szCs w:val="16"/>
                <w:lang w:val="en-US"/>
              </w:rPr>
              <w:t xml:space="preserve">The small amount of data to be transmitted via Msg3 consists of TBSs &lt; 1000 bits. </w:t>
            </w:r>
          </w:p>
          <w:p w14:paraId="3F87646E" w14:textId="452F1DAD" w:rsidR="00320A8E" w:rsidRPr="00882401" w:rsidRDefault="00320A8E" w:rsidP="00320A8E">
            <w:pPr>
              <w:pStyle w:val="BodyText"/>
              <w:numPr>
                <w:ilvl w:val="0"/>
                <w:numId w:val="40"/>
              </w:numPr>
              <w:rPr>
                <w:rFonts w:ascii="Times New Roman" w:hAnsi="Times New Roman"/>
                <w:sz w:val="16"/>
                <w:szCs w:val="16"/>
                <w:lang w:val="en-US"/>
              </w:rPr>
            </w:pPr>
            <w:r w:rsidRPr="00882401">
              <w:rPr>
                <w:rFonts w:ascii="Times New Roman" w:hAnsi="Times New Roman"/>
                <w:sz w:val="16"/>
                <w:szCs w:val="16"/>
                <w:lang w:val="en-US"/>
              </w:rPr>
              <w:t xml:space="preserve">Thereafter, using Msg4 the </w:t>
            </w:r>
            <w:proofErr w:type="spellStart"/>
            <w:r w:rsidRPr="00882401">
              <w:rPr>
                <w:rFonts w:ascii="Times New Roman" w:hAnsi="Times New Roman"/>
                <w:sz w:val="16"/>
                <w:szCs w:val="16"/>
                <w:lang w:val="en-US"/>
              </w:rPr>
              <w:t>eNodeB</w:t>
            </w:r>
            <w:proofErr w:type="spellEnd"/>
            <w:r w:rsidRPr="00882401">
              <w:rPr>
                <w:rFonts w:ascii="Times New Roman" w:hAnsi="Times New Roman"/>
                <w:sz w:val="16"/>
                <w:szCs w:val="16"/>
                <w:lang w:val="en-US"/>
              </w:rPr>
              <w:t xml:space="preserve"> responds to the NB-IoT UE </w:t>
            </w:r>
            <w:r w:rsidR="00A12E7B" w:rsidRPr="00882401">
              <w:rPr>
                <w:rFonts w:ascii="Times New Roman" w:hAnsi="Times New Roman"/>
                <w:sz w:val="16"/>
                <w:szCs w:val="16"/>
                <w:lang w:val="en-US"/>
              </w:rPr>
              <w:t>(NPDCCH [DCI Format N1] + NPDSCH)</w:t>
            </w:r>
            <w:r w:rsidRPr="00882401">
              <w:rPr>
                <w:rFonts w:ascii="Times New Roman" w:hAnsi="Times New Roman"/>
                <w:sz w:val="16"/>
                <w:szCs w:val="16"/>
                <w:lang w:val="en-US"/>
              </w:rPr>
              <w:t>.</w:t>
            </w:r>
          </w:p>
        </w:tc>
      </w:tr>
    </w:tbl>
    <w:p w14:paraId="40008140" w14:textId="77777777" w:rsidR="00320A8E" w:rsidRDefault="00320A8E" w:rsidP="00320A8E">
      <w:pPr>
        <w:pStyle w:val="BodyText"/>
        <w:rPr>
          <w:rFonts w:ascii="Times New Roman" w:hAnsi="Times New Roman"/>
        </w:rPr>
      </w:pPr>
    </w:p>
    <w:p w14:paraId="4AFF14EE" w14:textId="20D86579" w:rsidR="005C7559" w:rsidRDefault="00EB3FAB" w:rsidP="00320A8E">
      <w:pPr>
        <w:pStyle w:val="BodyText"/>
        <w:rPr>
          <w:rFonts w:ascii="Times New Roman" w:hAnsi="Times New Roman"/>
        </w:rPr>
      </w:pPr>
      <w:r>
        <w:rPr>
          <w:rFonts w:ascii="Times New Roman" w:hAnsi="Times New Roman"/>
        </w:rPr>
        <w:t>In the subsection below we provide our view on the questions in the LS.</w:t>
      </w:r>
    </w:p>
    <w:p w14:paraId="75636893" w14:textId="532B2E16" w:rsidR="00EB3FAB" w:rsidRDefault="00A54E4D" w:rsidP="00C2510B">
      <w:pPr>
        <w:pStyle w:val="Heading2"/>
        <w:jc w:val="both"/>
      </w:pPr>
      <w:r>
        <w:t>2.1</w:t>
      </w:r>
      <w:r>
        <w:tab/>
      </w:r>
      <w:r w:rsidR="009C5643">
        <w:t>Q1: W</w:t>
      </w:r>
      <w:r w:rsidR="009C5643" w:rsidRPr="009C5643">
        <w:t>hether there is any concern from RAN1 on the agreements regarding HARQ feedback for MSG4</w:t>
      </w:r>
    </w:p>
    <w:p w14:paraId="150454EC" w14:textId="64A102CB" w:rsidR="00320A8E" w:rsidRDefault="0013203C" w:rsidP="00320A8E">
      <w:r>
        <w:t>The LS contains the following agreements:</w:t>
      </w:r>
    </w:p>
    <w:tbl>
      <w:tblPr>
        <w:tblStyle w:val="TableGrid"/>
        <w:tblW w:w="0" w:type="auto"/>
        <w:tblLook w:val="04A0" w:firstRow="1" w:lastRow="0" w:firstColumn="1" w:lastColumn="0" w:noHBand="0" w:noVBand="1"/>
      </w:tblPr>
      <w:tblGrid>
        <w:gridCol w:w="9629"/>
      </w:tblGrid>
      <w:tr w:rsidR="00172BF2" w14:paraId="6DAACB63" w14:textId="77777777" w:rsidTr="00172BF2">
        <w:tc>
          <w:tcPr>
            <w:tcW w:w="9629" w:type="dxa"/>
          </w:tcPr>
          <w:p w14:paraId="207D3BFC" w14:textId="77777777" w:rsidR="00172BF2" w:rsidRPr="005E22A2" w:rsidRDefault="00172BF2" w:rsidP="00172BF2">
            <w:pPr>
              <w:pStyle w:val="Agreement"/>
              <w:widowControl w:val="0"/>
              <w:numPr>
                <w:ilvl w:val="0"/>
                <w:numId w:val="36"/>
              </w:numPr>
              <w:rPr>
                <w:b w:val="0"/>
                <w:bCs w:val="0"/>
                <w:sz w:val="16"/>
                <w:szCs w:val="16"/>
              </w:rPr>
            </w:pPr>
            <w:r w:rsidRPr="005E22A2">
              <w:rPr>
                <w:b w:val="0"/>
                <w:bCs w:val="0"/>
                <w:sz w:val="16"/>
                <w:szCs w:val="16"/>
              </w:rPr>
              <w:t>The HARQ feedback resource information can be included in the CB-Msg4 together with contention resolution ID which identity the specific UE. RAN2 could revisit this proposal if RAN1 has some concern.</w:t>
            </w:r>
          </w:p>
          <w:p w14:paraId="0F0B5AD3" w14:textId="4D6080C2" w:rsidR="00172BF2" w:rsidRPr="007A2DEE" w:rsidRDefault="00172BF2" w:rsidP="00172BF2">
            <w:pPr>
              <w:pStyle w:val="Agreement"/>
              <w:widowControl w:val="0"/>
              <w:numPr>
                <w:ilvl w:val="0"/>
                <w:numId w:val="0"/>
              </w:numPr>
              <w:ind w:left="780"/>
              <w:jc w:val="center"/>
              <w:rPr>
                <w:sz w:val="18"/>
                <w:szCs w:val="18"/>
              </w:rPr>
            </w:pPr>
            <w:r w:rsidRPr="007A2DEE">
              <w:rPr>
                <w:sz w:val="18"/>
                <w:szCs w:val="18"/>
              </w:rPr>
              <w:t>.</w:t>
            </w:r>
          </w:p>
          <w:p w14:paraId="3274E787" w14:textId="49E30161" w:rsidR="00172BF2" w:rsidRPr="007A2DEE" w:rsidRDefault="00172BF2" w:rsidP="007E2634">
            <w:pPr>
              <w:pStyle w:val="Agreement"/>
              <w:widowControl w:val="0"/>
              <w:numPr>
                <w:ilvl w:val="0"/>
                <w:numId w:val="0"/>
              </w:numPr>
              <w:spacing w:before="0"/>
              <w:ind w:left="782"/>
              <w:jc w:val="center"/>
              <w:rPr>
                <w:sz w:val="18"/>
                <w:szCs w:val="18"/>
              </w:rPr>
            </w:pPr>
            <w:r w:rsidRPr="007A2DEE">
              <w:rPr>
                <w:sz w:val="18"/>
                <w:szCs w:val="18"/>
              </w:rPr>
              <w:t>.</w:t>
            </w:r>
          </w:p>
          <w:p w14:paraId="61179521" w14:textId="60C10F11" w:rsidR="00172BF2" w:rsidRPr="007A2DEE" w:rsidRDefault="00172BF2" w:rsidP="007E2634">
            <w:pPr>
              <w:pStyle w:val="Agreement"/>
              <w:widowControl w:val="0"/>
              <w:numPr>
                <w:ilvl w:val="0"/>
                <w:numId w:val="0"/>
              </w:numPr>
              <w:spacing w:before="0"/>
              <w:ind w:left="782"/>
              <w:jc w:val="center"/>
              <w:rPr>
                <w:sz w:val="18"/>
                <w:szCs w:val="18"/>
              </w:rPr>
            </w:pPr>
            <w:r w:rsidRPr="007A2DEE">
              <w:rPr>
                <w:sz w:val="18"/>
                <w:szCs w:val="18"/>
              </w:rPr>
              <w:t>.</w:t>
            </w:r>
          </w:p>
          <w:p w14:paraId="310D7E15" w14:textId="5C3597BF" w:rsidR="00172BF2" w:rsidRPr="00172BF2" w:rsidRDefault="00172BF2" w:rsidP="00172BF2">
            <w:pPr>
              <w:pStyle w:val="Agreement"/>
              <w:widowControl w:val="0"/>
              <w:numPr>
                <w:ilvl w:val="0"/>
                <w:numId w:val="36"/>
              </w:numPr>
              <w:rPr>
                <w:b w:val="0"/>
                <w:bCs w:val="0"/>
                <w:sz w:val="16"/>
                <w:szCs w:val="16"/>
              </w:rPr>
            </w:pPr>
            <w:r w:rsidRPr="00172BF2">
              <w:rPr>
                <w:b w:val="0"/>
                <w:bCs w:val="0"/>
                <w:sz w:val="16"/>
                <w:szCs w:val="16"/>
              </w:rPr>
              <w:t>Reuse the existing format of HARQ ACK allocation signalling in the DCI. There is 2-bit HARQ ACK resource for eMTC and 4-bit HARQ ACK resource for NB-IoT. Reuse the meaning of DCI field in R1 SPEC</w:t>
            </w:r>
          </w:p>
        </w:tc>
      </w:tr>
    </w:tbl>
    <w:p w14:paraId="220C353B" w14:textId="556D999E" w:rsidR="0077186B" w:rsidRDefault="0013203C" w:rsidP="00C52779">
      <w:pPr>
        <w:spacing w:before="120" w:after="120"/>
        <w:jc w:val="both"/>
      </w:pPr>
      <w:r>
        <w:t>In</w:t>
      </w:r>
      <w:r w:rsidR="00A7333A">
        <w:t xml:space="preserve"> relation with the above t</w:t>
      </w:r>
      <w:r w:rsidR="00C33B4B">
        <w:t>w</w:t>
      </w:r>
      <w:r w:rsidR="00A7333A">
        <w:t xml:space="preserve">o agreements, it is important to </w:t>
      </w:r>
      <w:r w:rsidR="008B72CB">
        <w:t xml:space="preserve">highlight that Msg4 is delivered to the UE </w:t>
      </w:r>
      <w:r w:rsidR="00F42778">
        <w:t>through</w:t>
      </w:r>
      <w:r w:rsidR="00165FCF">
        <w:t xml:space="preserve"> (N)PDCCH which schedules (N)PDSCH carrying</w:t>
      </w:r>
      <w:r w:rsidR="00037CAB">
        <w:t xml:space="preserve"> Msg4.</w:t>
      </w:r>
      <w:r w:rsidR="00D355E3">
        <w:t xml:space="preserve"> </w:t>
      </w:r>
      <w:r w:rsidR="001B20C9">
        <w:t>It is precisely</w:t>
      </w:r>
      <w:r w:rsidR="002A0AAD">
        <w:t xml:space="preserve"> DCI Format N1 for NB-IoT and DCI Format 6-1A for LTE-MTC</w:t>
      </w:r>
      <w:r w:rsidR="001F609D">
        <w:t>,</w:t>
      </w:r>
      <w:r w:rsidR="002115DE">
        <w:t xml:space="preserve"> the ones</w:t>
      </w:r>
      <w:r w:rsidR="001F609D">
        <w:t xml:space="preserve"> including the DCI fields </w:t>
      </w:r>
      <w:r w:rsidR="00530656">
        <w:t>“</w:t>
      </w:r>
      <w:r w:rsidR="00B83BD1" w:rsidRPr="00B83BD1">
        <w:t>HARQ-ACK resource – 4 bits</w:t>
      </w:r>
      <w:r w:rsidR="00530656">
        <w:t>”</w:t>
      </w:r>
      <w:r w:rsidR="001F609D">
        <w:t xml:space="preserve"> and </w:t>
      </w:r>
      <w:r w:rsidR="00530656">
        <w:t>“</w:t>
      </w:r>
      <w:r w:rsidR="000F189E" w:rsidRPr="000F189E">
        <w:t>HARQ-ACK resource offset</w:t>
      </w:r>
      <w:r w:rsidR="000F189E">
        <w:t xml:space="preserve"> </w:t>
      </w:r>
      <w:r w:rsidR="000F189E" w:rsidRPr="00B83BD1">
        <w:t xml:space="preserve">– </w:t>
      </w:r>
      <w:r w:rsidR="000F189E">
        <w:t>2</w:t>
      </w:r>
      <w:r w:rsidR="000F189E" w:rsidRPr="00B83BD1">
        <w:t xml:space="preserve"> bits</w:t>
      </w:r>
      <w:r w:rsidR="00530656">
        <w:t>”</w:t>
      </w:r>
      <w:r w:rsidR="001F609D">
        <w:t xml:space="preserve"> respectively [TS 36.212].  </w:t>
      </w:r>
    </w:p>
    <w:p w14:paraId="7A428561" w14:textId="2D984484" w:rsidR="000838E2" w:rsidRDefault="000838E2" w:rsidP="00C52779">
      <w:pPr>
        <w:jc w:val="both"/>
      </w:pPr>
      <w:r>
        <w:t xml:space="preserve">In our understanding, </w:t>
      </w:r>
      <w:r w:rsidR="00D96D5C">
        <w:t>the way of delivering Msg4 will re-use legacy procedures and</w:t>
      </w:r>
      <w:r w:rsidR="00F33BAF">
        <w:t xml:space="preserve"> therefore it will continue making use of both (N)PDCCH and (N)PDSCH</w:t>
      </w:r>
      <w:r w:rsidR="00E147C2">
        <w:t xml:space="preserve">. Thus, </w:t>
      </w:r>
      <w:r w:rsidR="00C001C6">
        <w:t xml:space="preserve">in our view the </w:t>
      </w:r>
      <w:r w:rsidR="00A252B1">
        <w:t xml:space="preserve">DCI fields </w:t>
      </w:r>
      <w:r w:rsidR="0079003D">
        <w:t>“</w:t>
      </w:r>
      <w:r w:rsidR="00A252B1" w:rsidRPr="00B83BD1">
        <w:t>HARQ-ACK resource</w:t>
      </w:r>
      <w:r w:rsidR="0079003D">
        <w:t>” and “</w:t>
      </w:r>
      <w:r w:rsidR="00A252B1" w:rsidRPr="000F189E">
        <w:t>HARQ-ACK resource offset</w:t>
      </w:r>
      <w:r w:rsidR="0079003D">
        <w:t>” can c</w:t>
      </w:r>
      <w:r w:rsidR="00120524">
        <w:t>ontinue being indicated</w:t>
      </w:r>
      <w:r w:rsidR="00C52779">
        <w:t xml:space="preserve"> via (N)PDCCH</w:t>
      </w:r>
      <w:r w:rsidR="00A252B1">
        <w:t xml:space="preserve"> </w:t>
      </w:r>
      <w:r w:rsidR="00363F11">
        <w:t>through</w:t>
      </w:r>
      <w:r w:rsidR="00A252B1">
        <w:t xml:space="preserve"> DCI Format N1 and DCI Format 6-1A respectively</w:t>
      </w:r>
      <w:r w:rsidR="00C52779">
        <w:t>.</w:t>
      </w:r>
    </w:p>
    <w:p w14:paraId="70BF1E16" w14:textId="6DE4FCFA" w:rsidR="0077186B" w:rsidRDefault="005F169D" w:rsidP="00605F7D">
      <w:pPr>
        <w:pStyle w:val="Observation"/>
        <w:ind w:left="1701" w:hanging="1701"/>
      </w:pPr>
      <w:bookmarkStart w:id="1" w:name="_Toc201233913"/>
      <w:r w:rsidRPr="005F169D">
        <w:t xml:space="preserve">Msg4 is delivered to the UE through </w:t>
      </w:r>
      <w:r w:rsidR="00CC5124">
        <w:t xml:space="preserve">transmitting </w:t>
      </w:r>
      <w:r w:rsidRPr="005F169D">
        <w:t xml:space="preserve">(N)PDCCH </w:t>
      </w:r>
      <w:r w:rsidR="00CC5124">
        <w:t xml:space="preserve">and </w:t>
      </w:r>
      <w:r w:rsidR="00CC5124" w:rsidRPr="005F169D">
        <w:t>(N)PDSCH</w:t>
      </w:r>
      <w:r w:rsidR="00CC5124">
        <w:t>, the form</w:t>
      </w:r>
      <w:r w:rsidR="002E2513">
        <w:t xml:space="preserve">er one </w:t>
      </w:r>
      <w:r w:rsidR="000A6768">
        <w:t xml:space="preserve">is used to </w:t>
      </w:r>
      <w:r w:rsidRPr="005F169D">
        <w:t>schedule</w:t>
      </w:r>
      <w:r w:rsidR="002E2513">
        <w:t xml:space="preserve"> the latter on</w:t>
      </w:r>
      <w:r w:rsidR="00605F7D">
        <w:t>e</w:t>
      </w:r>
      <w:r w:rsidR="002E2513">
        <w:t xml:space="preserve"> which</w:t>
      </w:r>
      <w:r w:rsidRPr="005F169D">
        <w:t xml:space="preserve"> carr</w:t>
      </w:r>
      <w:r w:rsidR="002E2513">
        <w:t>ies</w:t>
      </w:r>
      <w:r w:rsidRPr="005F169D">
        <w:t xml:space="preserve"> Msg4</w:t>
      </w:r>
      <w:r w:rsidR="002E2513">
        <w:t>.</w:t>
      </w:r>
      <w:bookmarkEnd w:id="1"/>
    </w:p>
    <w:p w14:paraId="520B8FB8" w14:textId="2E296EA6" w:rsidR="000A6768" w:rsidRDefault="000A6768" w:rsidP="00605F7D">
      <w:pPr>
        <w:pStyle w:val="Observation"/>
        <w:ind w:left="1701" w:hanging="1701"/>
      </w:pPr>
      <w:bookmarkStart w:id="2" w:name="_Toc201233914"/>
      <w:r w:rsidRPr="000A6768">
        <w:t>In our understanding, the way of delivering Msg4 will re-use legacy procedures and therefore it will continue making use of both (N)PDCCH and (N)PDSCH</w:t>
      </w:r>
      <w:r>
        <w:t>.</w:t>
      </w:r>
      <w:r w:rsidR="0073285E">
        <w:t xml:space="preserve"> Thus, </w:t>
      </w:r>
      <w:r w:rsidR="0073285E" w:rsidRPr="0073285E">
        <w:t>the DCI fields “HARQ-ACK resource” and “HARQ-ACK resource offset” can continue being indicated via DCI Format</w:t>
      </w:r>
      <w:r w:rsidR="0072453B">
        <w:t xml:space="preserve"> N1 (NB-IoT) and</w:t>
      </w:r>
      <w:r w:rsidR="0073285E" w:rsidRPr="0073285E">
        <w:t xml:space="preserve"> 6-1A </w:t>
      </w:r>
      <w:r w:rsidR="0072453B">
        <w:t xml:space="preserve">(LTE-MTC) </w:t>
      </w:r>
      <w:r w:rsidR="0073285E" w:rsidRPr="0073285E">
        <w:t>respectively</w:t>
      </w:r>
      <w:r w:rsidR="0072453B">
        <w:t>.</w:t>
      </w:r>
      <w:bookmarkEnd w:id="2"/>
    </w:p>
    <w:p w14:paraId="77C21D94" w14:textId="15A2234F" w:rsidR="00585926" w:rsidRDefault="00AC72A9" w:rsidP="00037CAB">
      <w:pPr>
        <w:jc w:val="both"/>
      </w:pPr>
      <w:r>
        <w:t xml:space="preserve">Based on the </w:t>
      </w:r>
      <w:r w:rsidR="00911499">
        <w:t>previous analysis we have the following proposal:</w:t>
      </w:r>
    </w:p>
    <w:p w14:paraId="65E4CC58" w14:textId="00FDED38" w:rsidR="00A6063C" w:rsidRDefault="00A6063C" w:rsidP="00037CAB">
      <w:pPr>
        <w:pStyle w:val="Proposal"/>
      </w:pPr>
      <w:bookmarkStart w:id="3" w:name="_Toc201233859"/>
      <w:bookmarkStart w:id="4" w:name="_Toc201233917"/>
      <w:r>
        <w:t xml:space="preserve">CB-Msg4 is delivered to the UE re-using legacy procedures (i.e., via </w:t>
      </w:r>
      <w:r w:rsidRPr="005F169D">
        <w:t xml:space="preserve">(N)PDCCH </w:t>
      </w:r>
      <w:r>
        <w:t xml:space="preserve">and </w:t>
      </w:r>
      <w:r w:rsidRPr="005F169D">
        <w:t>(N)PDSCH</w:t>
      </w:r>
      <w:r>
        <w:t xml:space="preserve">). Thus, </w:t>
      </w:r>
      <w:r w:rsidRPr="009F0343">
        <w:t xml:space="preserve">the DCI fields “HARQ-ACK resource” and “HARQ-ACK resource offset” </w:t>
      </w:r>
      <w:r>
        <w:t>continue to be</w:t>
      </w:r>
      <w:r w:rsidRPr="009F0343">
        <w:t xml:space="preserve"> indicated via DCI Format N1 (NB-IoT) and 6-1A (LTE-MTC) respectively</w:t>
      </w:r>
      <w:r>
        <w:t>.</w:t>
      </w:r>
      <w:bookmarkEnd w:id="3"/>
      <w:bookmarkEnd w:id="4"/>
    </w:p>
    <w:p w14:paraId="146B2024" w14:textId="04105846" w:rsidR="00C54556" w:rsidRDefault="00841109" w:rsidP="00037CAB">
      <w:pPr>
        <w:jc w:val="both"/>
      </w:pPr>
      <w:r>
        <w:t xml:space="preserve">Regarding the delivery of </w:t>
      </w:r>
      <w:r w:rsidR="00970225">
        <w:t xml:space="preserve">the </w:t>
      </w:r>
      <w:r>
        <w:t>“</w:t>
      </w:r>
      <w:r w:rsidRPr="00841109">
        <w:t>contention resolution ID</w:t>
      </w:r>
      <w:r w:rsidR="003C52B1">
        <w:t>,</w:t>
      </w:r>
      <w:r>
        <w:t>”</w:t>
      </w:r>
      <w:r w:rsidR="008D5AD2">
        <w:t xml:space="preserve"> </w:t>
      </w:r>
      <w:r w:rsidR="00970225">
        <w:t xml:space="preserve">although no details have been provided, </w:t>
      </w:r>
      <w:r w:rsidR="00AE39ED">
        <w:t>most likely</w:t>
      </w:r>
      <w:r w:rsidR="00970225">
        <w:t xml:space="preserve"> its </w:t>
      </w:r>
      <w:r w:rsidR="00E645A5">
        <w:t>length</w:t>
      </w:r>
      <w:r w:rsidR="00AE39ED">
        <w:t xml:space="preserve"> will </w:t>
      </w:r>
      <w:r w:rsidR="00D64382">
        <w:t>make it</w:t>
      </w:r>
      <w:r w:rsidR="00AE39ED">
        <w:t xml:space="preserve"> difficult to deliver </w:t>
      </w:r>
      <w:r w:rsidR="00C83C1A">
        <w:t>the “</w:t>
      </w:r>
      <w:r w:rsidR="00C83C1A" w:rsidRPr="00841109">
        <w:t>contention resolution ID</w:t>
      </w:r>
      <w:r w:rsidR="00C83C1A">
        <w:t>”</w:t>
      </w:r>
      <w:r w:rsidR="00AE39ED">
        <w:t xml:space="preserve"> via DCI.</w:t>
      </w:r>
    </w:p>
    <w:p w14:paraId="1AF78230" w14:textId="2B40C661" w:rsidR="00A6063C" w:rsidRDefault="00FB379A" w:rsidP="005170D7">
      <w:pPr>
        <w:pStyle w:val="Observation"/>
        <w:ind w:left="1701" w:hanging="1701"/>
      </w:pPr>
      <w:bookmarkStart w:id="5" w:name="_Toc201233915"/>
      <w:r>
        <w:lastRenderedPageBreak/>
        <w:t>On the delivery of the “contention resolution ID,” no information</w:t>
      </w:r>
      <w:r w:rsidR="00310CB0">
        <w:t xml:space="preserve"> has been provided around it, but most likely its length will make it difficult to deliv</w:t>
      </w:r>
      <w:r w:rsidR="005170D7">
        <w:t>er it via DCI.</w:t>
      </w:r>
      <w:r w:rsidR="00AE39ED">
        <w:t xml:space="preserve"> </w:t>
      </w:r>
      <w:r w:rsidR="00D95E73">
        <w:t xml:space="preserve">Thus, it is recommended that RAN2 </w:t>
      </w:r>
      <w:r w:rsidR="00EE7BF3">
        <w:t>delivers the “</w:t>
      </w:r>
      <w:r w:rsidR="000C4943">
        <w:t>contention resolution ID</w:t>
      </w:r>
      <w:r w:rsidR="00EE7BF3">
        <w:t>” by a mean other than DCI.</w:t>
      </w:r>
      <w:bookmarkEnd w:id="5"/>
    </w:p>
    <w:p w14:paraId="17762461" w14:textId="34EAD8CE" w:rsidR="00C2510B" w:rsidRDefault="00C2510B" w:rsidP="00C2510B">
      <w:pPr>
        <w:pStyle w:val="Heading2"/>
        <w:jc w:val="both"/>
      </w:pPr>
      <w:r>
        <w:t>2.</w:t>
      </w:r>
      <w:r w:rsidR="001959F8">
        <w:t>2</w:t>
      </w:r>
      <w:r>
        <w:tab/>
        <w:t xml:space="preserve">Q2: </w:t>
      </w:r>
      <w:r w:rsidRPr="00C2510B">
        <w:t>whether there is any concern from RAN1 and RAN4 on the agreements regarding TAC in MSG4</w:t>
      </w:r>
    </w:p>
    <w:p w14:paraId="1FFC3DE7" w14:textId="0D54AA48" w:rsidR="003316D7" w:rsidRDefault="00B76705" w:rsidP="00C2510B">
      <w:r>
        <w:t>The second question i</w:t>
      </w:r>
      <w:r w:rsidR="00B90F2A">
        <w:t>s</w:t>
      </w:r>
      <w:r w:rsidR="000E5631">
        <w:t xml:space="preserve"> </w:t>
      </w:r>
      <w:r w:rsidR="003316D7">
        <w:t xml:space="preserve">“on the agreements regarding TAC in Msg4” </w:t>
      </w:r>
      <w:r w:rsidR="00885043">
        <w:t>which</w:t>
      </w:r>
      <w:r w:rsidR="003316D7">
        <w:t xml:space="preserve"> is directed to both</w:t>
      </w:r>
      <w:r w:rsidR="00B90F2A">
        <w:t xml:space="preserve"> RAN1 and RAN4</w:t>
      </w:r>
      <w:r w:rsidR="003316D7">
        <w:t>, and includes the following agreements:</w:t>
      </w:r>
    </w:p>
    <w:tbl>
      <w:tblPr>
        <w:tblStyle w:val="TableGrid"/>
        <w:tblW w:w="0" w:type="auto"/>
        <w:tblLook w:val="04A0" w:firstRow="1" w:lastRow="0" w:firstColumn="1" w:lastColumn="0" w:noHBand="0" w:noVBand="1"/>
      </w:tblPr>
      <w:tblGrid>
        <w:gridCol w:w="9629"/>
      </w:tblGrid>
      <w:tr w:rsidR="003316D7" w14:paraId="0AB16279" w14:textId="77777777" w:rsidTr="003316D7">
        <w:tc>
          <w:tcPr>
            <w:tcW w:w="9629" w:type="dxa"/>
          </w:tcPr>
          <w:p w14:paraId="41A84EF8" w14:textId="77777777" w:rsidR="003316D7" w:rsidRPr="00C24B71" w:rsidRDefault="003316D7" w:rsidP="003316D7">
            <w:pPr>
              <w:pStyle w:val="Agreement"/>
              <w:widowControl w:val="0"/>
              <w:numPr>
                <w:ilvl w:val="0"/>
                <w:numId w:val="36"/>
              </w:numPr>
              <w:rPr>
                <w:b w:val="0"/>
                <w:sz w:val="16"/>
                <w:szCs w:val="16"/>
                <w:lang w:val="en-US"/>
              </w:rPr>
            </w:pPr>
            <w:r w:rsidRPr="00C24B71">
              <w:rPr>
                <w:b w:val="0"/>
                <w:sz w:val="16"/>
                <w:szCs w:val="16"/>
                <w:lang w:val="en-US"/>
              </w:rPr>
              <w:t xml:space="preserve">The TAC is optionally used in the CB-Msg3 response. </w:t>
            </w:r>
          </w:p>
          <w:p w14:paraId="19D717C6" w14:textId="77777777" w:rsidR="003316D7" w:rsidRDefault="003316D7" w:rsidP="003316D7">
            <w:pPr>
              <w:pStyle w:val="Agreement"/>
              <w:widowControl w:val="0"/>
              <w:numPr>
                <w:ilvl w:val="0"/>
                <w:numId w:val="36"/>
              </w:numPr>
              <w:rPr>
                <w:b w:val="0"/>
                <w:bCs w:val="0"/>
                <w:sz w:val="16"/>
                <w:szCs w:val="16"/>
              </w:rPr>
            </w:pPr>
            <w:r w:rsidRPr="005E22A2">
              <w:rPr>
                <w:b w:val="0"/>
                <w:bCs w:val="0"/>
                <w:sz w:val="16"/>
                <w:szCs w:val="16"/>
              </w:rPr>
              <w:t xml:space="preserve">RAN2 assumes that </w:t>
            </w:r>
            <w:bookmarkStart w:id="6" w:name="_Hlk201233234"/>
            <w:r w:rsidRPr="005E22A2">
              <w:rPr>
                <w:b w:val="0"/>
                <w:bCs w:val="0"/>
                <w:sz w:val="16"/>
                <w:szCs w:val="16"/>
              </w:rPr>
              <w:t>NTA=0 for initial CB-msg3 transmission</w:t>
            </w:r>
            <w:bookmarkEnd w:id="6"/>
            <w:r w:rsidRPr="005E22A2">
              <w:rPr>
                <w:b w:val="0"/>
                <w:bCs w:val="0"/>
                <w:sz w:val="16"/>
                <w:szCs w:val="16"/>
              </w:rPr>
              <w:t xml:space="preserve">. </w:t>
            </w:r>
          </w:p>
          <w:p w14:paraId="113DCB6A" w14:textId="4BFBE6EE" w:rsidR="003316D7" w:rsidRPr="003316D7" w:rsidRDefault="003316D7" w:rsidP="003316D7">
            <w:pPr>
              <w:pStyle w:val="Agreement"/>
              <w:widowControl w:val="0"/>
              <w:numPr>
                <w:ilvl w:val="0"/>
                <w:numId w:val="36"/>
              </w:numPr>
              <w:rPr>
                <w:b w:val="0"/>
                <w:bCs w:val="0"/>
                <w:sz w:val="16"/>
                <w:szCs w:val="16"/>
              </w:rPr>
            </w:pPr>
            <w:r w:rsidRPr="003316D7">
              <w:rPr>
                <w:b w:val="0"/>
                <w:bCs w:val="0"/>
                <w:sz w:val="16"/>
                <w:szCs w:val="16"/>
              </w:rPr>
              <w:t>RAN2 assumes the length of the TAC field is 6 bits (we can revisit this if there is major R1 impact on TA calculation)</w:t>
            </w:r>
          </w:p>
        </w:tc>
      </w:tr>
    </w:tbl>
    <w:p w14:paraId="03AD0638" w14:textId="77777777" w:rsidR="00654DD1" w:rsidRDefault="000E5631" w:rsidP="00654DD1">
      <w:pPr>
        <w:spacing w:after="0"/>
      </w:pPr>
      <w:r>
        <w:t xml:space="preserve"> </w:t>
      </w:r>
    </w:p>
    <w:p w14:paraId="718042D3" w14:textId="77777777" w:rsidR="005B520C" w:rsidRDefault="00C2510B" w:rsidP="00654DD1">
      <w:r>
        <w:t>In</w:t>
      </w:r>
      <w:r w:rsidRPr="008A5C35">
        <w:t xml:space="preserve"> </w:t>
      </w:r>
      <w:r w:rsidRPr="00BD552F">
        <w:t>our understanding,</w:t>
      </w:r>
      <w:r w:rsidR="001959F8">
        <w:t xml:space="preserve"> </w:t>
      </w:r>
      <w:r w:rsidR="00687581">
        <w:t>the RAN2 a</w:t>
      </w:r>
      <w:r w:rsidR="00654DD1">
        <w:t>greements</w:t>
      </w:r>
      <w:r w:rsidR="00687581">
        <w:t xml:space="preserve"> </w:t>
      </w:r>
      <w:r w:rsidR="00E5146B">
        <w:t>regarding “TAC in Msg4” are</w:t>
      </w:r>
      <w:r w:rsidR="00686B13">
        <w:t xml:space="preserve"> in principle</w:t>
      </w:r>
      <w:r w:rsidR="00654DD1">
        <w:t xml:space="preserve"> suitable assumption</w:t>
      </w:r>
      <w:r w:rsidR="00CA74A2">
        <w:t>s for the CB-msg3-EDT feature.</w:t>
      </w:r>
      <w:r w:rsidR="005B520C">
        <w:t xml:space="preserve"> That is:</w:t>
      </w:r>
    </w:p>
    <w:p w14:paraId="2A5E57E9" w14:textId="12368CFC" w:rsidR="00C2510B" w:rsidRDefault="001836BE" w:rsidP="001836BE">
      <w:pPr>
        <w:pStyle w:val="ListParagraph"/>
        <w:numPr>
          <w:ilvl w:val="0"/>
          <w:numId w:val="41"/>
        </w:numPr>
        <w:rPr>
          <w:rFonts w:ascii="Times New Roman" w:eastAsia="SimSun" w:hAnsi="Times New Roman"/>
          <w:sz w:val="20"/>
          <w:szCs w:val="20"/>
          <w:lang w:val="en-GB" w:eastAsia="ja-JP"/>
        </w:rPr>
      </w:pPr>
      <w:r w:rsidRPr="001836BE">
        <w:rPr>
          <w:rFonts w:ascii="Times New Roman" w:eastAsia="SimSun" w:hAnsi="Times New Roman"/>
          <w:sz w:val="20"/>
          <w:szCs w:val="20"/>
          <w:lang w:val="en-GB" w:eastAsia="ja-JP"/>
        </w:rPr>
        <w:t>In</w:t>
      </w:r>
      <w:r>
        <w:rPr>
          <w:rFonts w:ascii="Times New Roman" w:eastAsia="SimSun" w:hAnsi="Times New Roman"/>
          <w:sz w:val="20"/>
          <w:szCs w:val="20"/>
          <w:lang w:val="en-GB" w:eastAsia="ja-JP"/>
        </w:rPr>
        <w:t xml:space="preserve"> our view</w:t>
      </w:r>
      <w:r w:rsidR="009B40F1">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is </w:t>
      </w:r>
      <w:r w:rsidR="00D14635">
        <w:rPr>
          <w:rFonts w:ascii="Times New Roman" w:eastAsia="SimSun" w:hAnsi="Times New Roman"/>
          <w:sz w:val="20"/>
          <w:szCs w:val="20"/>
          <w:lang w:val="en-GB" w:eastAsia="ja-JP"/>
        </w:rPr>
        <w:t>appropriate</w:t>
      </w:r>
      <w:r>
        <w:rPr>
          <w:rFonts w:ascii="Times New Roman" w:eastAsia="SimSun" w:hAnsi="Times New Roman"/>
          <w:sz w:val="20"/>
          <w:szCs w:val="20"/>
          <w:lang w:val="en-GB" w:eastAsia="ja-JP"/>
        </w:rPr>
        <w:t xml:space="preserve"> that “</w:t>
      </w:r>
      <w:r w:rsidRPr="006F1EFF">
        <w:rPr>
          <w:rFonts w:ascii="Times New Roman" w:eastAsia="SimSun" w:hAnsi="Times New Roman"/>
          <w:i/>
          <w:iCs/>
          <w:sz w:val="20"/>
          <w:szCs w:val="20"/>
          <w:lang w:val="en-GB" w:eastAsia="ja-JP"/>
        </w:rPr>
        <w:t>TAC is optionally used in the CB-Msg3 response</w:t>
      </w:r>
      <w:r>
        <w:rPr>
          <w:rFonts w:ascii="Times New Roman" w:eastAsia="SimSun" w:hAnsi="Times New Roman"/>
          <w:sz w:val="20"/>
          <w:szCs w:val="20"/>
          <w:lang w:val="en-GB" w:eastAsia="ja-JP"/>
        </w:rPr>
        <w:t>”</w:t>
      </w:r>
      <w:r w:rsidR="006F1EFF">
        <w:rPr>
          <w:rFonts w:ascii="Times New Roman" w:eastAsia="SimSun" w:hAnsi="Times New Roman"/>
          <w:sz w:val="20"/>
          <w:szCs w:val="20"/>
          <w:lang w:val="en-GB" w:eastAsia="ja-JP"/>
        </w:rPr>
        <w:t>.</w:t>
      </w:r>
    </w:p>
    <w:p w14:paraId="75E4EA0A" w14:textId="464E05BB" w:rsidR="001836BE" w:rsidRDefault="001836BE" w:rsidP="001836BE">
      <w:pPr>
        <w:pStyle w:val="ListParagraph"/>
        <w:numPr>
          <w:ilvl w:val="0"/>
          <w:numId w:val="41"/>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Given that </w:t>
      </w:r>
      <w:r w:rsidR="00C82872">
        <w:rPr>
          <w:rFonts w:ascii="Times New Roman" w:eastAsia="SimSun" w:hAnsi="Times New Roman"/>
          <w:sz w:val="20"/>
          <w:szCs w:val="20"/>
          <w:lang w:val="en-GB" w:eastAsia="ja-JP"/>
        </w:rPr>
        <w:t xml:space="preserve">the </w:t>
      </w:r>
      <w:proofErr w:type="spellStart"/>
      <w:r w:rsidR="00C82872">
        <w:rPr>
          <w:rFonts w:ascii="Times New Roman" w:eastAsia="SimSun" w:hAnsi="Times New Roman"/>
          <w:sz w:val="20"/>
          <w:szCs w:val="20"/>
          <w:lang w:val="en-GB" w:eastAsia="ja-JP"/>
        </w:rPr>
        <w:t>eNodeB</w:t>
      </w:r>
      <w:proofErr w:type="spellEnd"/>
      <w:r w:rsidR="00C82872">
        <w:rPr>
          <w:rFonts w:ascii="Times New Roman" w:eastAsia="SimSun" w:hAnsi="Times New Roman"/>
          <w:sz w:val="20"/>
          <w:szCs w:val="20"/>
          <w:lang w:val="en-GB" w:eastAsia="ja-JP"/>
        </w:rPr>
        <w:t xml:space="preserve"> has not issue</w:t>
      </w:r>
      <w:r w:rsidR="00D70F6C">
        <w:rPr>
          <w:rFonts w:ascii="Times New Roman" w:eastAsia="SimSun" w:hAnsi="Times New Roman"/>
          <w:sz w:val="20"/>
          <w:szCs w:val="20"/>
          <w:lang w:val="en-GB" w:eastAsia="ja-JP"/>
        </w:rPr>
        <w:t>d</w:t>
      </w:r>
      <w:r w:rsidR="00C82872">
        <w:rPr>
          <w:rFonts w:ascii="Times New Roman" w:eastAsia="SimSun" w:hAnsi="Times New Roman"/>
          <w:sz w:val="20"/>
          <w:szCs w:val="20"/>
          <w:lang w:val="en-GB" w:eastAsia="ja-JP"/>
        </w:rPr>
        <w:t xml:space="preserve"> yet</w:t>
      </w:r>
      <w:r w:rsidR="0090191F">
        <w:rPr>
          <w:rFonts w:ascii="Times New Roman" w:eastAsia="SimSun" w:hAnsi="Times New Roman"/>
          <w:sz w:val="20"/>
          <w:szCs w:val="20"/>
          <w:lang w:val="en-GB" w:eastAsia="ja-JP"/>
        </w:rPr>
        <w:t xml:space="preserve"> a TAC to the UE, </w:t>
      </w:r>
      <w:r w:rsidR="008C4BA9">
        <w:rPr>
          <w:rFonts w:ascii="Times New Roman" w:eastAsia="SimSun" w:hAnsi="Times New Roman"/>
          <w:sz w:val="20"/>
          <w:szCs w:val="20"/>
          <w:lang w:val="en-GB" w:eastAsia="ja-JP"/>
        </w:rPr>
        <w:t>in our view is suitable to assume “</w:t>
      </w:r>
      <w:r w:rsidR="008C4BA9" w:rsidRPr="006F1EFF">
        <w:rPr>
          <w:rFonts w:ascii="Times New Roman" w:eastAsia="SimSun" w:hAnsi="Times New Roman"/>
          <w:i/>
          <w:iCs/>
          <w:sz w:val="20"/>
          <w:szCs w:val="20"/>
          <w:lang w:val="en-GB" w:eastAsia="ja-JP"/>
        </w:rPr>
        <w:t>NTA=0 for initial CB-msg3 transmission</w:t>
      </w:r>
      <w:r w:rsidR="008C4BA9">
        <w:rPr>
          <w:rFonts w:ascii="Times New Roman" w:eastAsia="SimSun" w:hAnsi="Times New Roman"/>
          <w:sz w:val="20"/>
          <w:szCs w:val="20"/>
          <w:lang w:val="en-GB" w:eastAsia="ja-JP"/>
        </w:rPr>
        <w:t>”.</w:t>
      </w:r>
    </w:p>
    <w:p w14:paraId="5BB83A06" w14:textId="19386824" w:rsidR="008C4BA9" w:rsidRPr="001836BE" w:rsidRDefault="006F1EFF" w:rsidP="001836BE">
      <w:pPr>
        <w:pStyle w:val="ListParagraph"/>
        <w:numPr>
          <w:ilvl w:val="0"/>
          <w:numId w:val="41"/>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Assuming that “</w:t>
      </w:r>
      <w:r w:rsidRPr="006F1EFF">
        <w:rPr>
          <w:rFonts w:ascii="Times New Roman" w:eastAsia="SimSun" w:hAnsi="Times New Roman"/>
          <w:i/>
          <w:iCs/>
          <w:sz w:val="20"/>
          <w:szCs w:val="20"/>
          <w:lang w:val="en-GB" w:eastAsia="ja-JP"/>
        </w:rPr>
        <w:t>the length of the TAC field is 6 bits</w:t>
      </w:r>
      <w:r>
        <w:rPr>
          <w:rFonts w:ascii="Times New Roman" w:eastAsia="SimSun" w:hAnsi="Times New Roman"/>
          <w:sz w:val="20"/>
          <w:szCs w:val="20"/>
          <w:lang w:val="en-GB" w:eastAsia="ja-JP"/>
        </w:rPr>
        <w:t xml:space="preserve">” </w:t>
      </w:r>
      <w:r w:rsidR="00E51328">
        <w:rPr>
          <w:rFonts w:ascii="Times New Roman" w:eastAsia="SimSun" w:hAnsi="Times New Roman"/>
          <w:sz w:val="20"/>
          <w:szCs w:val="20"/>
          <w:lang w:val="en-GB" w:eastAsia="ja-JP"/>
        </w:rPr>
        <w:t>can</w:t>
      </w:r>
      <w:r w:rsidR="00E43F00">
        <w:rPr>
          <w:rFonts w:ascii="Times New Roman" w:eastAsia="SimSun" w:hAnsi="Times New Roman"/>
          <w:sz w:val="20"/>
          <w:szCs w:val="20"/>
          <w:lang w:val="en-GB" w:eastAsia="ja-JP"/>
        </w:rPr>
        <w:t>,</w:t>
      </w:r>
      <w:r w:rsidR="00E51328">
        <w:rPr>
          <w:rFonts w:ascii="Times New Roman" w:eastAsia="SimSun" w:hAnsi="Times New Roman"/>
          <w:sz w:val="20"/>
          <w:szCs w:val="20"/>
          <w:lang w:val="en-GB" w:eastAsia="ja-JP"/>
        </w:rPr>
        <w:t xml:space="preserve"> in principle</w:t>
      </w:r>
      <w:r w:rsidR="00E43F00">
        <w:rPr>
          <w:rFonts w:ascii="Times New Roman" w:eastAsia="SimSun" w:hAnsi="Times New Roman"/>
          <w:sz w:val="20"/>
          <w:szCs w:val="20"/>
          <w:lang w:val="en-GB" w:eastAsia="ja-JP"/>
        </w:rPr>
        <w:t>,</w:t>
      </w:r>
      <w:r w:rsidR="00E51328">
        <w:rPr>
          <w:rFonts w:ascii="Times New Roman" w:eastAsia="SimSun" w:hAnsi="Times New Roman"/>
          <w:sz w:val="20"/>
          <w:szCs w:val="20"/>
          <w:lang w:val="en-GB" w:eastAsia="ja-JP"/>
        </w:rPr>
        <w:t xml:space="preserve"> be considered </w:t>
      </w:r>
      <w:r w:rsidR="00C04803">
        <w:rPr>
          <w:rFonts w:ascii="Times New Roman" w:eastAsia="SimSun" w:hAnsi="Times New Roman"/>
          <w:sz w:val="20"/>
          <w:szCs w:val="20"/>
          <w:lang w:val="en-GB" w:eastAsia="ja-JP"/>
        </w:rPr>
        <w:t>feasible/</w:t>
      </w:r>
      <w:r w:rsidR="00965094">
        <w:rPr>
          <w:rFonts w:ascii="Times New Roman" w:eastAsia="SimSun" w:hAnsi="Times New Roman"/>
          <w:sz w:val="20"/>
          <w:szCs w:val="20"/>
          <w:lang w:val="en-GB" w:eastAsia="ja-JP"/>
        </w:rPr>
        <w:t>suitable.</w:t>
      </w:r>
    </w:p>
    <w:p w14:paraId="0ACED8F1" w14:textId="20817150" w:rsidR="00A5520E" w:rsidRDefault="00A5520E" w:rsidP="00B75FF1">
      <w:pPr>
        <w:spacing w:before="240"/>
        <w:jc w:val="both"/>
      </w:pPr>
      <w:r>
        <w:t xml:space="preserve">Based on the previous analysis we have the following </w:t>
      </w:r>
      <w:r w:rsidR="00911D27">
        <w:t>observation</w:t>
      </w:r>
      <w:r>
        <w:t>:</w:t>
      </w:r>
    </w:p>
    <w:p w14:paraId="1345194F" w14:textId="361E9208" w:rsidR="00911D27" w:rsidRDefault="000A0673" w:rsidP="000A0673">
      <w:pPr>
        <w:pStyle w:val="Observation"/>
        <w:ind w:left="1701" w:hanging="1701"/>
      </w:pPr>
      <w:bookmarkStart w:id="7" w:name="_Toc201233916"/>
      <w:r>
        <w:t xml:space="preserve">In </w:t>
      </w:r>
      <w:r w:rsidRPr="000A0673">
        <w:t>our understanding, the RAN2 agreements regarding “TAC in Msg4” are in principle suitable assumptions for the CB-msg3-EDT feature</w:t>
      </w:r>
      <w:r>
        <w:t>.</w:t>
      </w:r>
      <w:bookmarkEnd w:id="7"/>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8" w:name="_In-sequence_SDU_delivery"/>
    <w:bookmarkEnd w:id="8"/>
    <w:p w14:paraId="7E601929" w14:textId="77777777" w:rsidR="00490721" w:rsidRDefault="00490721" w:rsidP="00D31C2F">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1233913" w:history="1">
        <w:r w:rsidRPr="00E326C3">
          <w:rPr>
            <w:rStyle w:val="Hyperlink"/>
            <w:noProof/>
          </w:rPr>
          <w:t>Observation 1</w:t>
        </w:r>
        <w:r>
          <w:rPr>
            <w:rFonts w:asciiTheme="minorHAnsi" w:eastAsiaTheme="minorEastAsia" w:hAnsiTheme="minorHAnsi" w:cstheme="minorBidi"/>
            <w:b w:val="0"/>
            <w:kern w:val="2"/>
            <w:sz w:val="24"/>
            <w:szCs w:val="24"/>
            <w14:ligatures w14:val="standardContextual"/>
          </w:rPr>
          <w:tab/>
        </w:r>
        <w:r w:rsidRPr="00E326C3">
          <w:rPr>
            <w:rStyle w:val="Hyperlink"/>
            <w:noProof/>
          </w:rPr>
          <w:t>Msg4 is delivered to the UE through transmitting (N)PDCCH and (N)PDSCH, the former one is used to schedule the latter one which carries Msg4.</w:t>
        </w:r>
      </w:hyperlink>
    </w:p>
    <w:p w14:paraId="47B22CE9" w14:textId="77777777" w:rsidR="00490721" w:rsidRDefault="00490721" w:rsidP="00D31C2F">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1233914" w:history="1">
        <w:r w:rsidRPr="00E326C3">
          <w:rPr>
            <w:rStyle w:val="Hyperlink"/>
            <w:noProof/>
          </w:rPr>
          <w:t>Observation 2</w:t>
        </w:r>
        <w:r>
          <w:rPr>
            <w:rFonts w:asciiTheme="minorHAnsi" w:eastAsiaTheme="minorEastAsia" w:hAnsiTheme="minorHAnsi" w:cstheme="minorBidi"/>
            <w:b w:val="0"/>
            <w:kern w:val="2"/>
            <w:sz w:val="24"/>
            <w:szCs w:val="24"/>
            <w14:ligatures w14:val="standardContextual"/>
          </w:rPr>
          <w:tab/>
        </w:r>
        <w:r w:rsidRPr="00E326C3">
          <w:rPr>
            <w:rStyle w:val="Hyperlink"/>
            <w:noProof/>
          </w:rPr>
          <w:t>In our understanding, the way of delivering Msg4 will re-use legacy procedures and therefore it will continue making use of both (N)PDCCH and (N)PDSCH. Thus, the DCI fields “HARQ-ACK resource” and “HARQ-ACK resource offset” can continue being indicated via DCI Format N1 (NB-IoT) and 6-1A (LTE-MTC) respectively.</w:t>
        </w:r>
      </w:hyperlink>
    </w:p>
    <w:p w14:paraId="1971B998" w14:textId="77777777" w:rsidR="00490721" w:rsidRDefault="00490721" w:rsidP="00D31C2F">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1233915" w:history="1">
        <w:r w:rsidRPr="00E326C3">
          <w:rPr>
            <w:rStyle w:val="Hyperlink"/>
            <w:noProof/>
          </w:rPr>
          <w:t>Observation 3</w:t>
        </w:r>
        <w:r>
          <w:rPr>
            <w:rFonts w:asciiTheme="minorHAnsi" w:eastAsiaTheme="minorEastAsia" w:hAnsiTheme="minorHAnsi" w:cstheme="minorBidi"/>
            <w:b w:val="0"/>
            <w:kern w:val="2"/>
            <w:sz w:val="24"/>
            <w:szCs w:val="24"/>
            <w14:ligatures w14:val="standardContextual"/>
          </w:rPr>
          <w:tab/>
        </w:r>
        <w:r w:rsidRPr="00E326C3">
          <w:rPr>
            <w:rStyle w:val="Hyperlink"/>
            <w:noProof/>
          </w:rPr>
          <w:t>On the delivery of the “contention resolution ID,” no information has been provided around it, but most likely its length will make it difficult to deliver it via DCI. Thus, it is recommended that RAN2 delivers the “contention resolution ID” by a mean other than DCI.</w:t>
        </w:r>
      </w:hyperlink>
    </w:p>
    <w:p w14:paraId="3AE9B29E" w14:textId="77777777" w:rsidR="00490721" w:rsidRDefault="00490721" w:rsidP="00D31C2F">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1233916" w:history="1">
        <w:r w:rsidRPr="00E326C3">
          <w:rPr>
            <w:rStyle w:val="Hyperlink"/>
            <w:noProof/>
          </w:rPr>
          <w:t>Observation 4</w:t>
        </w:r>
        <w:r>
          <w:rPr>
            <w:rFonts w:asciiTheme="minorHAnsi" w:eastAsiaTheme="minorEastAsia" w:hAnsiTheme="minorHAnsi" w:cstheme="minorBidi"/>
            <w:b w:val="0"/>
            <w:kern w:val="2"/>
            <w:sz w:val="24"/>
            <w:szCs w:val="24"/>
            <w14:ligatures w14:val="standardContextual"/>
          </w:rPr>
          <w:tab/>
        </w:r>
        <w:r w:rsidRPr="00E326C3">
          <w:rPr>
            <w:rStyle w:val="Hyperlink"/>
            <w:noProof/>
          </w:rPr>
          <w:t>In our understanding, the RAN2 agreements regarding “TAC in Msg4” are in principle suitable assumptions for the CB-msg3-EDT feature.</w:t>
        </w:r>
      </w:hyperlink>
    </w:p>
    <w:p w14:paraId="7676DE67" w14:textId="32762C4B" w:rsidR="00490721" w:rsidRDefault="00490721" w:rsidP="00490721">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65BCA9B3" w14:textId="77777777" w:rsidR="00490721" w:rsidRDefault="00490721" w:rsidP="00D31C2F">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1233917" w:history="1">
        <w:r w:rsidRPr="00CB543C">
          <w:rPr>
            <w:rStyle w:val="Hyperlink"/>
            <w:noProof/>
          </w:rPr>
          <w:t>Proposal 1</w:t>
        </w:r>
        <w:r>
          <w:rPr>
            <w:rFonts w:asciiTheme="minorHAnsi" w:eastAsiaTheme="minorEastAsia" w:hAnsiTheme="minorHAnsi" w:cstheme="minorBidi"/>
            <w:b w:val="0"/>
            <w:kern w:val="2"/>
            <w:sz w:val="24"/>
            <w:szCs w:val="24"/>
            <w14:ligatures w14:val="standardContextual"/>
          </w:rPr>
          <w:tab/>
        </w:r>
        <w:r w:rsidRPr="00CB543C">
          <w:rPr>
            <w:rStyle w:val="Hyperlink"/>
            <w:noProof/>
          </w:rPr>
          <w:t>CB-Msg4 is delivered to the UE re-using legacy procedures (i.e., via (N)PDCCH and (N)PDSCH). Thus, the DCI fields “HARQ-ACK resource” and “HARQ-ACK resource offset” continue to be indicated via DCI Format N1 (NB-IoT) and 6-1A (LTE-MTC) respectively.</w:t>
        </w:r>
      </w:hyperlink>
    </w:p>
    <w:p w14:paraId="337FD414" w14:textId="11C727AC" w:rsidR="0052469A" w:rsidRPr="00136A93" w:rsidRDefault="00490721" w:rsidP="00D31C2F">
      <w:pPr>
        <w:pStyle w:val="BodyText"/>
      </w:pPr>
      <w:r>
        <w:rPr>
          <w:b/>
          <w:bCs/>
          <w:lang w:val="en-US"/>
        </w:rPr>
        <w:fldChar w:fldCharType="end"/>
      </w:r>
    </w:p>
    <w:p w14:paraId="7203AEF7" w14:textId="54A2D4F8" w:rsidR="00F507D1" w:rsidRPr="00CE0424" w:rsidRDefault="004526E5" w:rsidP="00CE0424">
      <w:pPr>
        <w:pStyle w:val="Heading1"/>
      </w:pPr>
      <w:r>
        <w:lastRenderedPageBreak/>
        <w:t>4</w:t>
      </w:r>
      <w:r w:rsidR="0074637E">
        <w:tab/>
      </w:r>
      <w:r w:rsidR="00F507D1" w:rsidRPr="00CE0424">
        <w:t>References</w:t>
      </w:r>
    </w:p>
    <w:p w14:paraId="14241AD0" w14:textId="77E36E76" w:rsidR="00096AE5" w:rsidRDefault="00C06DCA" w:rsidP="000F2ACE">
      <w:pPr>
        <w:pStyle w:val="Reference"/>
      </w:pPr>
      <w:hyperlink r:id="rId11" w:history="1">
        <w:r w:rsidRPr="00F27F0F">
          <w:rPr>
            <w:rStyle w:val="Hyperlink"/>
          </w:rPr>
          <w:t>R2-2504776</w:t>
        </w:r>
      </w:hyperlink>
      <w:r w:rsidR="000F2ACE">
        <w:t>, “</w:t>
      </w:r>
      <w:r w:rsidR="000908B1" w:rsidRPr="000908B1">
        <w:t>LS on CB-msg3-EDT</w:t>
      </w:r>
      <w:r w:rsidR="002B2C04">
        <w:t>,</w:t>
      </w:r>
      <w:r w:rsidR="000F2ACE">
        <w:t>”</w:t>
      </w:r>
      <w:r w:rsidR="002B2C04">
        <w:t xml:space="preserve"> </w:t>
      </w:r>
      <w:r w:rsidR="00246D49" w:rsidRPr="00246D49">
        <w:t>3GPP TSG-RAN WG2</w:t>
      </w:r>
      <w:r w:rsidR="002B2C04">
        <w:t xml:space="preserve">, </w:t>
      </w:r>
      <w:r w:rsidR="00F27F0F" w:rsidRPr="00F27F0F">
        <w:t>St Julian's, Malta, 19</w:t>
      </w:r>
      <w:r w:rsidR="00F27F0F" w:rsidRPr="00F27F0F">
        <w:rPr>
          <w:vertAlign w:val="superscript"/>
        </w:rPr>
        <w:t>th</w:t>
      </w:r>
      <w:r w:rsidR="00F27F0F" w:rsidRPr="00F27F0F">
        <w:t xml:space="preserve"> May – 23</w:t>
      </w:r>
      <w:r w:rsidR="00F27F0F" w:rsidRPr="00F27F0F">
        <w:rPr>
          <w:vertAlign w:val="superscript"/>
        </w:rPr>
        <w:t>rd</w:t>
      </w:r>
      <w:r w:rsidR="00F27F0F" w:rsidRPr="00F27F0F">
        <w:t xml:space="preserve"> </w:t>
      </w:r>
      <w:proofErr w:type="gramStart"/>
      <w:r w:rsidR="00F27F0F" w:rsidRPr="00F27F0F">
        <w:t>May,</w:t>
      </w:r>
      <w:proofErr w:type="gramEnd"/>
      <w:r w:rsidR="00F27F0F" w:rsidRPr="00F27F0F">
        <w:t xml:space="preserve"> 2025</w:t>
      </w:r>
      <w:r w:rsidR="00246D49">
        <w:t>.</w:t>
      </w:r>
      <w:r w:rsidR="002B2C04" w:rsidRPr="002B2C04">
        <w:t xml:space="preserve">                 </w:t>
      </w:r>
    </w:p>
    <w:sectPr w:rsidR="00096AE5"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B6D9" w14:textId="77777777" w:rsidR="003B7DB7" w:rsidRDefault="003B7DB7">
      <w:r>
        <w:separator/>
      </w:r>
    </w:p>
  </w:endnote>
  <w:endnote w:type="continuationSeparator" w:id="0">
    <w:p w14:paraId="6079CDA7" w14:textId="77777777" w:rsidR="003B7DB7" w:rsidRDefault="003B7DB7">
      <w:r>
        <w:continuationSeparator/>
      </w:r>
    </w:p>
  </w:endnote>
  <w:endnote w:type="continuationNotice" w:id="1">
    <w:p w14:paraId="37D28E3E" w14:textId="77777777" w:rsidR="003B7DB7" w:rsidRDefault="003B7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C86A" w14:textId="77777777" w:rsidR="003B7DB7" w:rsidRDefault="003B7DB7">
      <w:r>
        <w:separator/>
      </w:r>
    </w:p>
  </w:footnote>
  <w:footnote w:type="continuationSeparator" w:id="0">
    <w:p w14:paraId="464FADC7" w14:textId="77777777" w:rsidR="003B7DB7" w:rsidRDefault="003B7DB7">
      <w:r>
        <w:continuationSeparator/>
      </w:r>
    </w:p>
  </w:footnote>
  <w:footnote w:type="continuationNotice" w:id="1">
    <w:p w14:paraId="6A5F2FA4" w14:textId="77777777" w:rsidR="003B7DB7" w:rsidRDefault="003B7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4"/>
  </w:num>
  <w:num w:numId="2" w16cid:durableId="1118790765">
    <w:abstractNumId w:val="18"/>
  </w:num>
  <w:num w:numId="3" w16cid:durableId="1689137301">
    <w:abstractNumId w:val="0"/>
  </w:num>
  <w:num w:numId="4" w16cid:durableId="1071344800">
    <w:abstractNumId w:val="28"/>
  </w:num>
  <w:num w:numId="5" w16cid:durableId="1434671129">
    <w:abstractNumId w:val="30"/>
  </w:num>
  <w:num w:numId="6" w16cid:durableId="1884755429">
    <w:abstractNumId w:val="32"/>
  </w:num>
  <w:num w:numId="7" w16cid:durableId="1009648021">
    <w:abstractNumId w:val="10"/>
  </w:num>
  <w:num w:numId="8" w16cid:durableId="937637647">
    <w:abstractNumId w:val="14"/>
  </w:num>
  <w:num w:numId="9" w16cid:durableId="849417896">
    <w:abstractNumId w:val="7"/>
  </w:num>
  <w:num w:numId="10" w16cid:durableId="1199389102">
    <w:abstractNumId w:val="39"/>
  </w:num>
  <w:num w:numId="11" w16cid:durableId="1019048365">
    <w:abstractNumId w:val="17"/>
  </w:num>
  <w:num w:numId="12" w16cid:durableId="35859111">
    <w:abstractNumId w:val="35"/>
  </w:num>
  <w:num w:numId="13" w16cid:durableId="570047084">
    <w:abstractNumId w:val="16"/>
  </w:num>
  <w:num w:numId="14" w16cid:durableId="513611605">
    <w:abstractNumId w:val="41"/>
  </w:num>
  <w:num w:numId="15" w16cid:durableId="642589295">
    <w:abstractNumId w:val="36"/>
  </w:num>
  <w:num w:numId="16" w16cid:durableId="1157650935">
    <w:abstractNumId w:val="23"/>
  </w:num>
  <w:num w:numId="17" w16cid:durableId="478500919">
    <w:abstractNumId w:val="21"/>
  </w:num>
  <w:num w:numId="18" w16cid:durableId="1921481351">
    <w:abstractNumId w:val="22"/>
  </w:num>
  <w:num w:numId="19" w16cid:durableId="1928734619">
    <w:abstractNumId w:val="34"/>
  </w:num>
  <w:num w:numId="20" w16cid:durableId="314645982">
    <w:abstractNumId w:val="1"/>
  </w:num>
  <w:num w:numId="21" w16cid:durableId="142815955">
    <w:abstractNumId w:val="27"/>
  </w:num>
  <w:num w:numId="22" w16cid:durableId="2135320553">
    <w:abstractNumId w:val="38"/>
  </w:num>
  <w:num w:numId="23" w16cid:durableId="1620146151">
    <w:abstractNumId w:val="9"/>
  </w:num>
  <w:num w:numId="24" w16cid:durableId="967397272">
    <w:abstractNumId w:val="12"/>
  </w:num>
  <w:num w:numId="25" w16cid:durableId="1251699876">
    <w:abstractNumId w:val="13"/>
  </w:num>
  <w:num w:numId="26" w16cid:durableId="598875592">
    <w:abstractNumId w:val="11"/>
  </w:num>
  <w:num w:numId="27" w16cid:durableId="503668415">
    <w:abstractNumId w:val="8"/>
  </w:num>
  <w:num w:numId="28" w16cid:durableId="972248947">
    <w:abstractNumId w:val="31"/>
  </w:num>
  <w:num w:numId="29" w16cid:durableId="1162308373">
    <w:abstractNumId w:val="3"/>
  </w:num>
  <w:num w:numId="30" w16cid:durableId="1517428390">
    <w:abstractNumId w:val="25"/>
  </w:num>
  <w:num w:numId="31" w16cid:durableId="571818315">
    <w:abstractNumId w:val="6"/>
  </w:num>
  <w:num w:numId="32" w16cid:durableId="1541942437">
    <w:abstractNumId w:val="20"/>
  </w:num>
  <w:num w:numId="33" w16cid:durableId="252786060">
    <w:abstractNumId w:val="37"/>
  </w:num>
  <w:num w:numId="34" w16cid:durableId="1470904388">
    <w:abstractNumId w:val="29"/>
  </w:num>
  <w:num w:numId="35" w16cid:durableId="524636763">
    <w:abstractNumId w:val="19"/>
  </w:num>
  <w:num w:numId="36" w16cid:durableId="103307785">
    <w:abstractNumId w:val="40"/>
  </w:num>
  <w:num w:numId="37" w16cid:durableId="802233382">
    <w:abstractNumId w:val="5"/>
  </w:num>
  <w:num w:numId="38" w16cid:durableId="308292838">
    <w:abstractNumId w:val="15"/>
  </w:num>
  <w:num w:numId="39" w16cid:durableId="653727921">
    <w:abstractNumId w:val="2"/>
  </w:num>
  <w:num w:numId="40" w16cid:durableId="1845167022">
    <w:abstractNumId w:val="26"/>
  </w:num>
  <w:num w:numId="41" w16cid:durableId="1000809574">
    <w:abstractNumId w:val="4"/>
  </w:num>
  <w:num w:numId="42" w16cid:durableId="1129321471">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6F6F"/>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99"/>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524E"/>
    <w:rsid w:val="000C55AB"/>
    <w:rsid w:val="000C5B63"/>
    <w:rsid w:val="000C6090"/>
    <w:rsid w:val="000C6122"/>
    <w:rsid w:val="000C62F5"/>
    <w:rsid w:val="000C654D"/>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31"/>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E2B"/>
    <w:rsid w:val="00111034"/>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816"/>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D15"/>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906"/>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A73"/>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765"/>
    <w:rsid w:val="00230986"/>
    <w:rsid w:val="00230D18"/>
    <w:rsid w:val="0023138C"/>
    <w:rsid w:val="00231845"/>
    <w:rsid w:val="002319E4"/>
    <w:rsid w:val="00231BDE"/>
    <w:rsid w:val="00231C8F"/>
    <w:rsid w:val="00231EE8"/>
    <w:rsid w:val="002324F6"/>
    <w:rsid w:val="002328C9"/>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68A"/>
    <w:rsid w:val="00247EF8"/>
    <w:rsid w:val="00247FA9"/>
    <w:rsid w:val="002500C8"/>
    <w:rsid w:val="002502C6"/>
    <w:rsid w:val="002503DB"/>
    <w:rsid w:val="00250478"/>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4D6"/>
    <w:rsid w:val="002B2AB7"/>
    <w:rsid w:val="002B2C04"/>
    <w:rsid w:val="002B38B0"/>
    <w:rsid w:val="002B3C3D"/>
    <w:rsid w:val="002B4523"/>
    <w:rsid w:val="002B4954"/>
    <w:rsid w:val="002B519B"/>
    <w:rsid w:val="002B5A6F"/>
    <w:rsid w:val="002B5E2A"/>
    <w:rsid w:val="002B5E90"/>
    <w:rsid w:val="002B6144"/>
    <w:rsid w:val="002B64AA"/>
    <w:rsid w:val="002B6B86"/>
    <w:rsid w:val="002B707D"/>
    <w:rsid w:val="002B72F4"/>
    <w:rsid w:val="002B747E"/>
    <w:rsid w:val="002B7C0D"/>
    <w:rsid w:val="002B7C12"/>
    <w:rsid w:val="002B7EBD"/>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FA2"/>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E4B"/>
    <w:rsid w:val="0037607A"/>
    <w:rsid w:val="003762F4"/>
    <w:rsid w:val="00376966"/>
    <w:rsid w:val="00376D38"/>
    <w:rsid w:val="00376F7C"/>
    <w:rsid w:val="00377CE1"/>
    <w:rsid w:val="003804E9"/>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0C45"/>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AE3"/>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69E2"/>
    <w:rsid w:val="00466BF7"/>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4127"/>
    <w:rsid w:val="00564148"/>
    <w:rsid w:val="00564302"/>
    <w:rsid w:val="005644F1"/>
    <w:rsid w:val="0056490E"/>
    <w:rsid w:val="00564B9E"/>
    <w:rsid w:val="00564E2E"/>
    <w:rsid w:val="00564FD2"/>
    <w:rsid w:val="005651DD"/>
    <w:rsid w:val="0056538F"/>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4D6"/>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6DA2"/>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239"/>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BFE"/>
    <w:rsid w:val="00694EA1"/>
    <w:rsid w:val="00695350"/>
    <w:rsid w:val="0069552B"/>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5B8"/>
    <w:rsid w:val="00780A80"/>
    <w:rsid w:val="00780A89"/>
    <w:rsid w:val="0078115A"/>
    <w:rsid w:val="0078177E"/>
    <w:rsid w:val="00781836"/>
    <w:rsid w:val="007818E6"/>
    <w:rsid w:val="00781928"/>
    <w:rsid w:val="00781981"/>
    <w:rsid w:val="00781E54"/>
    <w:rsid w:val="007820A9"/>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688A"/>
    <w:rsid w:val="007E7091"/>
    <w:rsid w:val="007E7EDF"/>
    <w:rsid w:val="007F08CF"/>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044"/>
    <w:rsid w:val="0087310D"/>
    <w:rsid w:val="008731FE"/>
    <w:rsid w:val="00873EC4"/>
    <w:rsid w:val="00874312"/>
    <w:rsid w:val="0087437C"/>
    <w:rsid w:val="00874ACE"/>
    <w:rsid w:val="00874C49"/>
    <w:rsid w:val="00874D17"/>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AE1"/>
    <w:rsid w:val="008B4262"/>
    <w:rsid w:val="008B43F8"/>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B5E"/>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8A4"/>
    <w:rsid w:val="008D5935"/>
    <w:rsid w:val="008D5AD2"/>
    <w:rsid w:val="008D5BC3"/>
    <w:rsid w:val="008D5ED6"/>
    <w:rsid w:val="008D6D1A"/>
    <w:rsid w:val="008D71EC"/>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B69"/>
    <w:rsid w:val="00911D27"/>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0F64"/>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685"/>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EDC"/>
    <w:rsid w:val="009F10C5"/>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2A"/>
    <w:rsid w:val="00A4457B"/>
    <w:rsid w:val="00A44E12"/>
    <w:rsid w:val="00A44F47"/>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415"/>
    <w:rsid w:val="00A54A85"/>
    <w:rsid w:val="00A54E4D"/>
    <w:rsid w:val="00A5520E"/>
    <w:rsid w:val="00A55873"/>
    <w:rsid w:val="00A55DBF"/>
    <w:rsid w:val="00A55F1A"/>
    <w:rsid w:val="00A5673D"/>
    <w:rsid w:val="00A579CE"/>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C63"/>
    <w:rsid w:val="00A84E0A"/>
    <w:rsid w:val="00A8556B"/>
    <w:rsid w:val="00A855AD"/>
    <w:rsid w:val="00A85E0B"/>
    <w:rsid w:val="00A8608F"/>
    <w:rsid w:val="00A86138"/>
    <w:rsid w:val="00A8628C"/>
    <w:rsid w:val="00A8637A"/>
    <w:rsid w:val="00A863C5"/>
    <w:rsid w:val="00A863FE"/>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7C1"/>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ACD"/>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3F3"/>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51"/>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4B71"/>
    <w:rsid w:val="00C2510B"/>
    <w:rsid w:val="00C25389"/>
    <w:rsid w:val="00C25D41"/>
    <w:rsid w:val="00C25D52"/>
    <w:rsid w:val="00C26240"/>
    <w:rsid w:val="00C264D4"/>
    <w:rsid w:val="00C26B6C"/>
    <w:rsid w:val="00C26BB0"/>
    <w:rsid w:val="00C270CF"/>
    <w:rsid w:val="00C27407"/>
    <w:rsid w:val="00C277C8"/>
    <w:rsid w:val="00C279B5"/>
    <w:rsid w:val="00C27B65"/>
    <w:rsid w:val="00C27C45"/>
    <w:rsid w:val="00C30654"/>
    <w:rsid w:val="00C312E7"/>
    <w:rsid w:val="00C31D88"/>
    <w:rsid w:val="00C31DAF"/>
    <w:rsid w:val="00C31F4E"/>
    <w:rsid w:val="00C320BC"/>
    <w:rsid w:val="00C32368"/>
    <w:rsid w:val="00C324B1"/>
    <w:rsid w:val="00C33514"/>
    <w:rsid w:val="00C33B4B"/>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7CF"/>
    <w:rsid w:val="00C83C1A"/>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158A"/>
    <w:rsid w:val="00CA1883"/>
    <w:rsid w:val="00CA1ED8"/>
    <w:rsid w:val="00CA26EA"/>
    <w:rsid w:val="00CA2832"/>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635"/>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327"/>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6B"/>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46E"/>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C6"/>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3FAB"/>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EF7"/>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3FFB"/>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0EE"/>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D71"/>
    <w:rsid w:val="00FC0E28"/>
    <w:rsid w:val="00FC1972"/>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5EFC"/>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28"/>
    <w:rsid w:val="00FD69C4"/>
    <w:rsid w:val="00FD7050"/>
    <w:rsid w:val="00FD732A"/>
    <w:rsid w:val="00FD74DB"/>
    <w:rsid w:val="00FD764A"/>
    <w:rsid w:val="00FD7660"/>
    <w:rsid w:val="00FE02E9"/>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56113ED-9B97-4C03-B879-38AE67374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R2-250477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purl.org/dc/elements/1.1/"/>
    <ds:schemaRef ds:uri="fa0aa013-70cc-4caf-a624-3c5587bb5d7c"/>
    <ds:schemaRef ds:uri="2b775076-5c04-40e0-9a4d-fd3e2648dcb2"/>
    <ds:schemaRef ds:uri="http://purl.org/dc/terms/"/>
  </ds:schemaRefs>
</ds:datastoreItem>
</file>

<file path=customXml/itemProps4.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1213</TotalTime>
  <Pages>4</Pages>
  <Words>1435</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8950</CharactersWithSpaces>
  <SharedDoc>false</SharedDoc>
  <HLinks>
    <vt:vector size="48" baseType="variant">
      <vt:variant>
        <vt:i4>3342455</vt:i4>
      </vt:variant>
      <vt:variant>
        <vt:i4>21</vt:i4>
      </vt:variant>
      <vt:variant>
        <vt:i4>0</vt:i4>
      </vt:variant>
      <vt:variant>
        <vt:i4>5</vt:i4>
      </vt:variant>
      <vt:variant>
        <vt:lpwstr>https://www.3gpp.org/ftp/Meetings_3GPP_SYNC/RAN2/Inbox/R2-2504776.zip</vt:lpwstr>
      </vt:variant>
      <vt:variant>
        <vt:lpwstr/>
      </vt:variant>
      <vt:variant>
        <vt:i4>1507385</vt:i4>
      </vt:variant>
      <vt:variant>
        <vt:i4>17</vt:i4>
      </vt:variant>
      <vt:variant>
        <vt:i4>0</vt:i4>
      </vt:variant>
      <vt:variant>
        <vt:i4>5</vt:i4>
      </vt:variant>
      <vt:variant>
        <vt:lpwstr/>
      </vt:variant>
      <vt:variant>
        <vt:lpwstr>_Toc201233917</vt:lpwstr>
      </vt:variant>
      <vt:variant>
        <vt:i4>1507385</vt:i4>
      </vt:variant>
      <vt:variant>
        <vt:i4>11</vt:i4>
      </vt:variant>
      <vt:variant>
        <vt:i4>0</vt:i4>
      </vt:variant>
      <vt:variant>
        <vt:i4>5</vt:i4>
      </vt:variant>
      <vt:variant>
        <vt:lpwstr/>
      </vt:variant>
      <vt:variant>
        <vt:lpwstr>_Toc201233916</vt:lpwstr>
      </vt:variant>
      <vt:variant>
        <vt:i4>1507385</vt:i4>
      </vt:variant>
      <vt:variant>
        <vt:i4>8</vt:i4>
      </vt:variant>
      <vt:variant>
        <vt:i4>0</vt:i4>
      </vt:variant>
      <vt:variant>
        <vt:i4>5</vt:i4>
      </vt:variant>
      <vt:variant>
        <vt:lpwstr/>
      </vt:variant>
      <vt:variant>
        <vt:lpwstr>_Toc201233915</vt:lpwstr>
      </vt:variant>
      <vt:variant>
        <vt:i4>1507385</vt:i4>
      </vt:variant>
      <vt:variant>
        <vt:i4>5</vt:i4>
      </vt:variant>
      <vt:variant>
        <vt:i4>0</vt:i4>
      </vt:variant>
      <vt:variant>
        <vt:i4>5</vt:i4>
      </vt:variant>
      <vt:variant>
        <vt:lpwstr/>
      </vt:variant>
      <vt:variant>
        <vt:lpwstr>_Toc201233914</vt:lpwstr>
      </vt:variant>
      <vt:variant>
        <vt:i4>1507385</vt:i4>
      </vt:variant>
      <vt:variant>
        <vt:i4>2</vt:i4>
      </vt:variant>
      <vt:variant>
        <vt:i4>0</vt:i4>
      </vt:variant>
      <vt:variant>
        <vt:i4>5</vt:i4>
      </vt:variant>
      <vt:variant>
        <vt:lpwstr/>
      </vt:variant>
      <vt:variant>
        <vt:lpwstr>_Toc201233913</vt:lpwstr>
      </vt:variant>
      <vt:variant>
        <vt:i4>5505148</vt:i4>
      </vt:variant>
      <vt:variant>
        <vt:i4>3</vt:i4>
      </vt:variant>
      <vt:variant>
        <vt:i4>0</vt:i4>
      </vt:variant>
      <vt:variant>
        <vt:i4>5</vt:i4>
      </vt:variant>
      <vt:variant>
        <vt:lpwstr>mailto:ignacio.pascual.pelayo@ericsson.com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880</cp:revision>
  <cp:lastPrinted>2008-01-31T16:09:00Z</cp:lastPrinted>
  <dcterms:created xsi:type="dcterms:W3CDTF">2024-09-18T15:10:00Z</dcterms:created>
  <dcterms:modified xsi:type="dcterms:W3CDTF">2025-08-13T09:13:00Z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